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33A6" w14:textId="58EF8EAC" w:rsidR="009B4371" w:rsidRPr="0063540E" w:rsidRDefault="00782CB1">
      <w:pPr>
        <w:pStyle w:val="Titre"/>
        <w:rPr>
          <w:sz w:val="44"/>
          <w:szCs w:val="44"/>
        </w:rPr>
      </w:pPr>
      <w:r w:rsidRPr="0063540E">
        <w:rPr>
          <w:color w:val="201843"/>
          <w:spacing w:val="-8"/>
          <w:w w:val="110"/>
          <w:sz w:val="44"/>
          <w:szCs w:val="44"/>
        </w:rPr>
        <w:t>Conditions</w:t>
      </w:r>
      <w:r w:rsidRPr="0063540E">
        <w:rPr>
          <w:color w:val="201843"/>
          <w:spacing w:val="-51"/>
          <w:w w:val="110"/>
          <w:sz w:val="44"/>
          <w:szCs w:val="44"/>
        </w:rPr>
        <w:t xml:space="preserve"> </w:t>
      </w:r>
      <w:r w:rsidRPr="0063540E">
        <w:rPr>
          <w:color w:val="201843"/>
          <w:spacing w:val="-8"/>
          <w:w w:val="110"/>
          <w:sz w:val="44"/>
          <w:szCs w:val="44"/>
        </w:rPr>
        <w:t>générales</w:t>
      </w:r>
      <w:r w:rsidRPr="0063540E">
        <w:rPr>
          <w:color w:val="201843"/>
          <w:spacing w:val="-50"/>
          <w:w w:val="110"/>
          <w:sz w:val="44"/>
          <w:szCs w:val="44"/>
        </w:rPr>
        <w:t xml:space="preserve"> </w:t>
      </w:r>
      <w:r w:rsidRPr="0063540E">
        <w:rPr>
          <w:color w:val="201843"/>
          <w:spacing w:val="-8"/>
          <w:w w:val="110"/>
          <w:sz w:val="44"/>
          <w:szCs w:val="44"/>
        </w:rPr>
        <w:t>de</w:t>
      </w:r>
      <w:r w:rsidRPr="0063540E">
        <w:rPr>
          <w:color w:val="201843"/>
          <w:spacing w:val="-50"/>
          <w:w w:val="110"/>
          <w:sz w:val="44"/>
          <w:szCs w:val="44"/>
        </w:rPr>
        <w:t xml:space="preserve"> </w:t>
      </w:r>
      <w:r w:rsidRPr="0063540E">
        <w:rPr>
          <w:color w:val="201843"/>
          <w:spacing w:val="-8"/>
          <w:w w:val="110"/>
          <w:sz w:val="44"/>
          <w:szCs w:val="44"/>
        </w:rPr>
        <w:t>vente</w:t>
      </w:r>
      <w:r w:rsidRPr="0063540E">
        <w:rPr>
          <w:color w:val="201843"/>
          <w:spacing w:val="-51"/>
          <w:w w:val="110"/>
          <w:sz w:val="44"/>
          <w:szCs w:val="44"/>
        </w:rPr>
        <w:t xml:space="preserve"> </w:t>
      </w:r>
      <w:r w:rsidRPr="0063540E">
        <w:rPr>
          <w:color w:val="201843"/>
          <w:spacing w:val="-8"/>
          <w:w w:val="110"/>
          <w:sz w:val="44"/>
          <w:szCs w:val="44"/>
        </w:rPr>
        <w:t>C</w:t>
      </w:r>
      <w:r w:rsidR="0093118A" w:rsidRPr="0063540E">
        <w:rPr>
          <w:color w:val="201843"/>
          <w:spacing w:val="-8"/>
          <w:w w:val="110"/>
          <w:sz w:val="44"/>
          <w:szCs w:val="44"/>
        </w:rPr>
        <w:t>onvergence</w:t>
      </w:r>
      <w:r w:rsidRPr="0063540E">
        <w:rPr>
          <w:color w:val="201843"/>
          <w:spacing w:val="-8"/>
          <w:w w:val="110"/>
          <w:sz w:val="44"/>
          <w:szCs w:val="44"/>
        </w:rPr>
        <w:t>®</w:t>
      </w:r>
    </w:p>
    <w:p w14:paraId="3077699B" w14:textId="77777777" w:rsidR="009B4371" w:rsidRPr="0063540E" w:rsidRDefault="009B4371">
      <w:pPr>
        <w:sectPr w:rsidR="009B4371" w:rsidRPr="0063540E">
          <w:type w:val="continuous"/>
          <w:pgSz w:w="11910" w:h="16840"/>
          <w:pgMar w:top="360" w:right="740" w:bottom="280" w:left="1020" w:header="720" w:footer="720" w:gutter="0"/>
          <w:cols w:space="720"/>
        </w:sectPr>
      </w:pPr>
    </w:p>
    <w:p w14:paraId="5EB440C0" w14:textId="2433C1CF" w:rsidR="009B4371" w:rsidRPr="0063540E" w:rsidRDefault="00EB4694" w:rsidP="003449CA">
      <w:pPr>
        <w:pStyle w:val="Corpsdetexte"/>
        <w:spacing w:before="14" w:line="273" w:lineRule="auto"/>
        <w:ind w:left="77" w:right="186"/>
        <w:jc w:val="both"/>
        <w:rPr>
          <w:sz w:val="12"/>
          <w:szCs w:val="12"/>
        </w:rPr>
      </w:pPr>
      <w:r w:rsidRPr="00A214DE">
        <w:rPr>
          <w:spacing w:val="-2"/>
          <w:w w:val="80"/>
          <w:sz w:val="20"/>
          <w:szCs w:val="20"/>
        </w:rPr>
        <w:br/>
      </w:r>
      <w:r w:rsidR="00782CB1" w:rsidRPr="0063540E">
        <w:rPr>
          <w:spacing w:val="-2"/>
          <w:w w:val="80"/>
        </w:rPr>
        <w:t>C</w:t>
      </w:r>
      <w:r w:rsidR="00192ACF" w:rsidRPr="0063540E">
        <w:rPr>
          <w:spacing w:val="-2"/>
          <w:w w:val="80"/>
        </w:rPr>
        <w:t>onvergence</w:t>
      </w:r>
      <w:r w:rsidR="00782CB1" w:rsidRPr="0063540E">
        <w:rPr>
          <w:spacing w:val="-2"/>
          <w:w w:val="80"/>
        </w:rPr>
        <w:t xml:space="preserve"> se réserve la possibilité de modifier ou mettre à jour ses conditions générales à tout</w:t>
      </w:r>
      <w:r w:rsidR="00192ACF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moment.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Les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conditions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générales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applicables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au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jour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de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la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commande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sont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consultables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sur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le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spacing w:val="-2"/>
          <w:w w:val="80"/>
        </w:rPr>
        <w:t>site</w:t>
      </w:r>
      <w:r w:rsidR="00782CB1" w:rsidRPr="0063540E">
        <w:rPr>
          <w:spacing w:val="-2"/>
          <w:w w:val="80"/>
        </w:rPr>
        <w:t xml:space="preserve"> </w:t>
      </w:r>
      <w:hyperlink r:id="rId5" w:history="1">
        <w:r w:rsidR="00192ACF" w:rsidRPr="0063540E">
          <w:rPr>
            <w:spacing w:val="-2"/>
            <w:w w:val="80"/>
          </w:rPr>
          <w:t>www.convergence-telecom.com</w:t>
        </w:r>
      </w:hyperlink>
    </w:p>
    <w:p w14:paraId="442500DB" w14:textId="77777777" w:rsidR="009B4371" w:rsidRPr="0063540E" w:rsidRDefault="00782CB1">
      <w:pPr>
        <w:pStyle w:val="Titre1"/>
        <w:numPr>
          <w:ilvl w:val="0"/>
          <w:numId w:val="5"/>
        </w:numPr>
        <w:tabs>
          <w:tab w:val="left" w:pos="232"/>
        </w:tabs>
        <w:ind w:left="232" w:hanging="119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color w:val="7F5CA3"/>
          <w:spacing w:val="-2"/>
          <w:w w:val="110"/>
          <w:sz w:val="12"/>
          <w:szCs w:val="12"/>
        </w:rPr>
        <w:t>PRÉSENTATION</w:t>
      </w:r>
    </w:p>
    <w:p w14:paraId="16A33CE4" w14:textId="6C869C20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C</w:t>
      </w:r>
      <w:r w:rsidR="00277703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est un organisme de formation professionnelle dont le siège social est établi </w:t>
      </w:r>
      <w:r w:rsidR="00277703" w:rsidRPr="0063540E">
        <w:rPr>
          <w:spacing w:val="-2"/>
          <w:w w:val="80"/>
        </w:rPr>
        <w:t>24</w:t>
      </w:r>
      <w:r w:rsidRPr="0063540E">
        <w:rPr>
          <w:spacing w:val="-2"/>
          <w:w w:val="80"/>
        </w:rPr>
        <w:t>,</w:t>
      </w:r>
      <w:r w:rsidRPr="0063540E">
        <w:rPr>
          <w:spacing w:val="-2"/>
          <w:w w:val="80"/>
        </w:rPr>
        <w:t xml:space="preserve"> </w:t>
      </w:r>
      <w:r w:rsidR="00277703" w:rsidRPr="0063540E">
        <w:rPr>
          <w:spacing w:val="-2"/>
          <w:w w:val="80"/>
        </w:rPr>
        <w:t>A</w:t>
      </w:r>
      <w:r w:rsidR="0093118A" w:rsidRPr="0063540E">
        <w:rPr>
          <w:spacing w:val="-2"/>
          <w:w w:val="80"/>
        </w:rPr>
        <w:t>venue</w:t>
      </w:r>
      <w:r w:rsidR="00277703" w:rsidRPr="0063540E">
        <w:rPr>
          <w:spacing w:val="-2"/>
          <w:w w:val="80"/>
        </w:rPr>
        <w:t xml:space="preserve"> du Pr</w:t>
      </w:r>
      <w:r w:rsidR="0093118A" w:rsidRPr="0063540E">
        <w:rPr>
          <w:spacing w:val="-2"/>
          <w:w w:val="80"/>
        </w:rPr>
        <w:t>ésiden</w:t>
      </w:r>
      <w:r w:rsidR="00277703" w:rsidRPr="0063540E">
        <w:rPr>
          <w:spacing w:val="-2"/>
          <w:w w:val="80"/>
        </w:rPr>
        <w:t>t Wilson – 86100 Châtellerault</w:t>
      </w:r>
      <w:r w:rsidRPr="0063540E">
        <w:rPr>
          <w:spacing w:val="-2"/>
          <w:w w:val="80"/>
        </w:rPr>
        <w:t xml:space="preserve"> (France). C</w:t>
      </w:r>
      <w:r w:rsidR="00277703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développe, propose 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dispense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présentiel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intra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entreprise,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ouvertes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="00433D1F"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distance</w:t>
      </w:r>
      <w:r w:rsidRPr="0063540E">
        <w:rPr>
          <w:spacing w:val="-2"/>
          <w:w w:val="80"/>
        </w:rPr>
        <w:t>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sous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classes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virtuelles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classes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distance</w:t>
      </w:r>
      <w:r w:rsidRPr="0063540E">
        <w:rPr>
          <w:spacing w:val="-2"/>
          <w:w w:val="80"/>
        </w:rPr>
        <w:t>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864E89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réalise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également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études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conseil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opérationnel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entreprises</w:t>
      </w:r>
      <w:r w:rsidR="00BD2CDB" w:rsidRPr="0063540E">
        <w:rPr>
          <w:spacing w:val="-2"/>
          <w:w w:val="80"/>
        </w:rPr>
        <w:t>.</w:t>
      </w:r>
    </w:p>
    <w:p w14:paraId="56019D7F" w14:textId="77777777" w:rsidR="0093118A" w:rsidRPr="0063540E" w:rsidRDefault="0093118A">
      <w:pPr>
        <w:pStyle w:val="Corpsdetexte"/>
        <w:spacing w:before="2" w:line="249" w:lineRule="auto"/>
        <w:ind w:left="113" w:right="127"/>
        <w:jc w:val="both"/>
        <w:rPr>
          <w:sz w:val="12"/>
          <w:szCs w:val="12"/>
        </w:rPr>
      </w:pPr>
    </w:p>
    <w:p w14:paraId="0F63AB95" w14:textId="77777777" w:rsidR="009B4371" w:rsidRPr="0063540E" w:rsidRDefault="00782CB1">
      <w:pPr>
        <w:pStyle w:val="Titre1"/>
        <w:numPr>
          <w:ilvl w:val="0"/>
          <w:numId w:val="5"/>
        </w:numPr>
        <w:tabs>
          <w:tab w:val="left" w:pos="239"/>
        </w:tabs>
        <w:spacing w:before="59"/>
        <w:ind w:left="239" w:hanging="126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color w:val="7F5CA3"/>
          <w:spacing w:val="-2"/>
          <w:w w:val="105"/>
          <w:sz w:val="12"/>
          <w:szCs w:val="12"/>
        </w:rPr>
        <w:t>OBJET</w:t>
      </w:r>
    </w:p>
    <w:p w14:paraId="7DBA21CE" w14:textId="369DAC3F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présentes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conditions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générales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vente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(ci-après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"CGV")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s’appliquent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Offres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services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BD2CDB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relatives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commandes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passées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auprès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4A4BDA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professionnel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(ci-après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"le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Client").</w:t>
      </w:r>
    </w:p>
    <w:p w14:paraId="68AFE241" w14:textId="6C542BB2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C</w:t>
      </w:r>
      <w:r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réserve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possibilité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mettre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CGV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moment.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est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précisé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CGV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vigueur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commande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consultables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site</w:t>
      </w:r>
    </w:p>
    <w:p w14:paraId="3E87D2B9" w14:textId="0A4AF3E8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www.</w:t>
      </w:r>
      <w:r w:rsidR="004A4BDA" w:rsidRPr="0063540E">
        <w:rPr>
          <w:spacing w:val="-2"/>
          <w:w w:val="80"/>
        </w:rPr>
        <w:t>convergence-telecom.com</w:t>
      </w:r>
      <w:r w:rsidRPr="0063540E">
        <w:rPr>
          <w:spacing w:val="-2"/>
          <w:w w:val="80"/>
        </w:rPr>
        <w:t>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fait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passer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commande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implique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l’adhésion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entière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réserve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CGV.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condition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contraire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notamment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condition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générale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particulière opposée par le Client ne peut, sauf acceptation formelle et écrite de C</w:t>
      </w:r>
      <w:r w:rsidR="009E2DA9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prévaloir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présentes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CGV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moment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où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elle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aura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être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portée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connaissance.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fait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9E2DA9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prévale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moment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donné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l’une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quelconque des présentes CGV ne peut être interprété comme valant renonciation à s’en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prévaloir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ultérieurement.</w:t>
      </w:r>
    </w:p>
    <w:p w14:paraId="7BABC763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 Client se porte fort du respect des présentes CGV par l’ensemble de ses salariés,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préposés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agents.</w:t>
      </w:r>
    </w:p>
    <w:p w14:paraId="080D2C69" w14:textId="22C14A83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 Client reconnaît également que, préalablement à toute commande, il a bénéficié 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informations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conseils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suffisants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A77646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lui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permettant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s’assurer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l’adéquation de l’Offre de services à ses besoins.</w:t>
      </w:r>
    </w:p>
    <w:p w14:paraId="0CAAC6E0" w14:textId="77777777" w:rsidR="0093118A" w:rsidRPr="0063540E" w:rsidRDefault="0093118A">
      <w:pPr>
        <w:pStyle w:val="Corpsdetexte"/>
        <w:spacing w:before="1" w:line="249" w:lineRule="auto"/>
        <w:ind w:left="113" w:right="173"/>
        <w:rPr>
          <w:sz w:val="12"/>
          <w:szCs w:val="12"/>
        </w:rPr>
      </w:pPr>
    </w:p>
    <w:p w14:paraId="7C6D6CF7" w14:textId="77777777" w:rsidR="009B4371" w:rsidRPr="0063540E" w:rsidRDefault="00782CB1">
      <w:pPr>
        <w:pStyle w:val="Titre1"/>
        <w:numPr>
          <w:ilvl w:val="0"/>
          <w:numId w:val="5"/>
        </w:numPr>
        <w:tabs>
          <w:tab w:val="left" w:pos="238"/>
        </w:tabs>
        <w:spacing w:before="59"/>
        <w:ind w:left="238" w:hanging="125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color w:val="7F5CA3"/>
          <w:w w:val="105"/>
          <w:sz w:val="12"/>
          <w:szCs w:val="12"/>
        </w:rPr>
        <w:t>ÉTUDE</w:t>
      </w:r>
      <w:r w:rsidRPr="0063540E">
        <w:rPr>
          <w:rFonts w:ascii="Arial" w:hAnsi="Arial" w:cs="Arial"/>
          <w:color w:val="7F5CA3"/>
          <w:spacing w:val="-2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ET</w:t>
      </w:r>
      <w:r w:rsidRPr="0063540E">
        <w:rPr>
          <w:rFonts w:ascii="Arial" w:hAnsi="Arial" w:cs="Arial"/>
          <w:color w:val="7F5CA3"/>
          <w:spacing w:val="-4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CONSEIL</w:t>
      </w:r>
      <w:r w:rsidRPr="0063540E">
        <w:rPr>
          <w:rFonts w:ascii="Arial" w:hAnsi="Arial" w:cs="Arial"/>
          <w:color w:val="7F5CA3"/>
          <w:spacing w:val="-4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spacing w:val="-2"/>
          <w:w w:val="105"/>
          <w:sz w:val="12"/>
          <w:szCs w:val="12"/>
        </w:rPr>
        <w:t>OPÉRATIONNEL</w:t>
      </w:r>
    </w:p>
    <w:p w14:paraId="0CFA421C" w14:textId="5DE8BFA8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Toute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prestation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d’étude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conseil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opérationnel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fait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l’objet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d’une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proposition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commerciale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financière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établie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A77646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d’acceptation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acompte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minimum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20 % du coût total de la prestation sera versé par le Client.</w:t>
      </w:r>
    </w:p>
    <w:p w14:paraId="77C6E1BE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 cas échéant, le prix de la prestation est révisable à la date anniversaire du contrat 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application de la formule de révision visée au 7.2.3 ci-après.</w:t>
      </w:r>
    </w:p>
    <w:p w14:paraId="5EA5494C" w14:textId="60C4588C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Pour la réalisation des missions d’études et de conseil opérationnel,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C31EFE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facture le temps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 consultants consacré à la mission,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soit en fonction d’un prix par jour d’intervention,</w:t>
      </w:r>
      <w:r w:rsidR="00C31EFE"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forfait.</w:t>
      </w:r>
    </w:p>
    <w:p w14:paraId="05F9CF44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Les frais techniques et logistiques liés à l’exécution de la mission sont à la charge 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 et ne sont en aucun cas inclus dans les honoraires. Sauf indication contraire dans la</w:t>
      </w:r>
    </w:p>
    <w:p w14:paraId="5B911155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proposition, ces frais sont facturés à leur prix coûtant augmenté des frais de gestion évalués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forfaitairement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15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%.</w:t>
      </w:r>
    </w:p>
    <w:p w14:paraId="193AE82A" w14:textId="77777777" w:rsidR="0093118A" w:rsidRPr="0063540E" w:rsidRDefault="0093118A">
      <w:pPr>
        <w:pStyle w:val="Corpsdetexte"/>
        <w:spacing w:before="1" w:line="249" w:lineRule="auto"/>
        <w:ind w:left="113"/>
        <w:rPr>
          <w:sz w:val="12"/>
          <w:szCs w:val="12"/>
        </w:rPr>
      </w:pPr>
    </w:p>
    <w:p w14:paraId="6752DB78" w14:textId="77777777" w:rsidR="009B4371" w:rsidRPr="0063540E" w:rsidRDefault="00782CB1">
      <w:pPr>
        <w:pStyle w:val="Titre1"/>
        <w:numPr>
          <w:ilvl w:val="0"/>
          <w:numId w:val="5"/>
        </w:numPr>
        <w:tabs>
          <w:tab w:val="left" w:pos="239"/>
        </w:tabs>
        <w:ind w:left="239" w:hanging="126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color w:val="7F5CA3"/>
          <w:w w:val="105"/>
          <w:sz w:val="12"/>
          <w:szCs w:val="12"/>
        </w:rPr>
        <w:t>FORMATIONS</w:t>
      </w:r>
      <w:r w:rsidRPr="0063540E">
        <w:rPr>
          <w:rFonts w:ascii="Arial" w:hAnsi="Arial" w:cs="Arial"/>
          <w:color w:val="7F5CA3"/>
          <w:spacing w:val="-4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EN</w:t>
      </w:r>
      <w:r w:rsidRPr="0063540E">
        <w:rPr>
          <w:rFonts w:ascii="Arial" w:hAnsi="Arial" w:cs="Arial"/>
          <w:color w:val="7F5CA3"/>
          <w:spacing w:val="-3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PRÉSENTIEL</w:t>
      </w:r>
      <w:r w:rsidRPr="0063540E">
        <w:rPr>
          <w:rFonts w:ascii="Arial" w:hAnsi="Arial" w:cs="Arial"/>
          <w:color w:val="7F5CA3"/>
          <w:spacing w:val="-6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ET</w:t>
      </w:r>
      <w:r w:rsidRPr="0063540E">
        <w:rPr>
          <w:rFonts w:ascii="Arial" w:hAnsi="Arial" w:cs="Arial"/>
          <w:color w:val="7F5CA3"/>
          <w:spacing w:val="-11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À</w:t>
      </w:r>
      <w:r w:rsidRPr="0063540E">
        <w:rPr>
          <w:rFonts w:ascii="Arial" w:hAnsi="Arial" w:cs="Arial"/>
          <w:color w:val="7F5CA3"/>
          <w:spacing w:val="-7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spacing w:val="-2"/>
          <w:w w:val="105"/>
          <w:sz w:val="12"/>
          <w:szCs w:val="12"/>
        </w:rPr>
        <w:t>DISTANCE</w:t>
      </w:r>
    </w:p>
    <w:p w14:paraId="70BA7284" w14:textId="77777777" w:rsidR="009B4371" w:rsidRPr="0063540E" w:rsidRDefault="00782CB1">
      <w:pPr>
        <w:pStyle w:val="Titre2"/>
        <w:numPr>
          <w:ilvl w:val="1"/>
          <w:numId w:val="5"/>
        </w:numPr>
        <w:tabs>
          <w:tab w:val="left" w:pos="265"/>
        </w:tabs>
        <w:spacing w:before="4"/>
        <w:ind w:left="265" w:hanging="152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z w:val="12"/>
          <w:szCs w:val="12"/>
        </w:rPr>
        <w:t xml:space="preserve">Formations </w:t>
      </w:r>
      <w:r w:rsidRPr="0063540E">
        <w:rPr>
          <w:rFonts w:ascii="Arial" w:hAnsi="Arial" w:cs="Arial"/>
          <w:spacing w:val="-2"/>
          <w:sz w:val="12"/>
          <w:szCs w:val="12"/>
        </w:rPr>
        <w:t>interentreprises</w:t>
      </w:r>
    </w:p>
    <w:p w14:paraId="3BC82FAF" w14:textId="77777777" w:rsidR="009B4371" w:rsidRPr="0063540E" w:rsidRDefault="00782CB1">
      <w:pPr>
        <w:pStyle w:val="Paragraphedeliste"/>
        <w:numPr>
          <w:ilvl w:val="2"/>
          <w:numId w:val="5"/>
        </w:numPr>
        <w:tabs>
          <w:tab w:val="left" w:pos="316"/>
        </w:tabs>
        <w:spacing w:before="4"/>
        <w:ind w:left="316" w:hanging="203"/>
        <w:rPr>
          <w:sz w:val="12"/>
          <w:szCs w:val="12"/>
        </w:rPr>
      </w:pPr>
      <w:r w:rsidRPr="0063540E">
        <w:rPr>
          <w:spacing w:val="-2"/>
          <w:w w:val="95"/>
          <w:sz w:val="12"/>
          <w:szCs w:val="12"/>
        </w:rPr>
        <w:t>Descriptif</w:t>
      </w:r>
    </w:p>
    <w:p w14:paraId="09DA1EA0" w14:textId="412658A3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dispositions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présent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article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concernent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interentreprises,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longues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courtes,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disponibles au catalogue C</w:t>
      </w:r>
      <w:r w:rsidR="0012003E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et réalisées dans les locaux C</w:t>
      </w:r>
      <w:r w:rsidR="0012003E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 locaux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mis à disposition par C</w:t>
      </w:r>
      <w:r w:rsidR="0012003E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ou à distance (classes à distance, classes virtuelles). En cas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d’impossibilité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d’assurer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présentiel,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notamment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majeure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où de restrictions réglementaires interdisant la tenue de formation en présentielle,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 sera automatiquement dispensée à distance.</w:t>
      </w:r>
    </w:p>
    <w:p w14:paraId="0FA79182" w14:textId="77777777" w:rsidR="00433D1F" w:rsidRPr="0063540E" w:rsidRDefault="00433D1F">
      <w:pPr>
        <w:pStyle w:val="Corpsdetexte"/>
        <w:spacing w:before="5" w:line="249" w:lineRule="auto"/>
        <w:ind w:left="113" w:right="75"/>
        <w:rPr>
          <w:sz w:val="12"/>
          <w:szCs w:val="12"/>
        </w:rPr>
      </w:pPr>
    </w:p>
    <w:p w14:paraId="0FD58FA2" w14:textId="77777777" w:rsidR="009B4371" w:rsidRPr="0063540E" w:rsidRDefault="00782CB1">
      <w:pPr>
        <w:pStyle w:val="Paragraphedeliste"/>
        <w:numPr>
          <w:ilvl w:val="2"/>
          <w:numId w:val="5"/>
        </w:numPr>
        <w:tabs>
          <w:tab w:val="left" w:pos="316"/>
        </w:tabs>
        <w:spacing w:before="3"/>
        <w:ind w:left="316" w:hanging="203"/>
        <w:rPr>
          <w:sz w:val="12"/>
          <w:szCs w:val="12"/>
        </w:rPr>
      </w:pPr>
      <w:r w:rsidRPr="0063540E">
        <w:rPr>
          <w:spacing w:val="-2"/>
          <w:w w:val="80"/>
          <w:sz w:val="12"/>
          <w:szCs w:val="12"/>
        </w:rPr>
        <w:t>Conditions</w:t>
      </w:r>
      <w:r w:rsidRPr="0063540E">
        <w:rPr>
          <w:spacing w:val="-2"/>
          <w:sz w:val="12"/>
          <w:szCs w:val="12"/>
        </w:rPr>
        <w:t xml:space="preserve"> </w:t>
      </w:r>
      <w:r w:rsidRPr="0063540E">
        <w:rPr>
          <w:spacing w:val="-2"/>
          <w:w w:val="85"/>
          <w:sz w:val="12"/>
          <w:szCs w:val="12"/>
        </w:rPr>
        <w:t>financières</w:t>
      </w:r>
    </w:p>
    <w:p w14:paraId="0EF3F37A" w14:textId="2912C859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prix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applicables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ceux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figurant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site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internet</w:t>
      </w:r>
      <w:r w:rsidRPr="0063540E">
        <w:rPr>
          <w:spacing w:val="-2"/>
          <w:w w:val="80"/>
        </w:rPr>
        <w:t xml:space="preserve"> </w:t>
      </w:r>
      <w:hyperlink r:id="rId6" w:history="1">
        <w:r w:rsidR="006D21B7" w:rsidRPr="0063540E">
          <w:rPr>
            <w:spacing w:val="-2"/>
            <w:w w:val="80"/>
          </w:rPr>
          <w:t>www.c</w:t>
        </w:r>
      </w:hyperlink>
      <w:r w:rsidR="006D21B7" w:rsidRPr="0063540E">
        <w:rPr>
          <w:spacing w:val="-2"/>
          <w:w w:val="80"/>
        </w:rPr>
        <w:t>onvergence-telecom.com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commande.</w:t>
      </w:r>
    </w:p>
    <w:p w14:paraId="3FD03695" w14:textId="65F976DC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règlement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prix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est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effectuer,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l’inscription,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comptant,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escompte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l’ordre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6D21B7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.</w:t>
      </w:r>
    </w:p>
    <w:p w14:paraId="31CAD2DD" w14:textId="4A14748A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Tous les prix sont indiqués hors taxes et sont à majorer du taux 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TVA en vigueur</w:t>
      </w:r>
      <w:r w:rsidR="003C1BDE" w:rsidRPr="0063540E">
        <w:rPr>
          <w:spacing w:val="-2"/>
          <w:w w:val="80"/>
        </w:rPr>
        <w:t>.</w:t>
      </w:r>
    </w:p>
    <w:p w14:paraId="6C08540A" w14:textId="77777777" w:rsidR="00433D1F" w:rsidRPr="0063540E" w:rsidRDefault="00433D1F">
      <w:pPr>
        <w:pStyle w:val="Corpsdetexte"/>
        <w:spacing w:before="2" w:line="249" w:lineRule="auto"/>
        <w:ind w:left="113"/>
        <w:rPr>
          <w:sz w:val="12"/>
          <w:szCs w:val="12"/>
        </w:rPr>
      </w:pPr>
    </w:p>
    <w:p w14:paraId="4D082EDE" w14:textId="77777777" w:rsidR="009B4371" w:rsidRPr="0063540E" w:rsidRDefault="00782CB1">
      <w:pPr>
        <w:pStyle w:val="Paragraphedeliste"/>
        <w:numPr>
          <w:ilvl w:val="2"/>
          <w:numId w:val="5"/>
        </w:numPr>
        <w:tabs>
          <w:tab w:val="left" w:pos="316"/>
        </w:tabs>
        <w:spacing w:before="1"/>
        <w:ind w:left="316" w:hanging="203"/>
        <w:rPr>
          <w:sz w:val="12"/>
          <w:szCs w:val="12"/>
        </w:rPr>
      </w:pPr>
      <w:r w:rsidRPr="0063540E">
        <w:rPr>
          <w:spacing w:val="-2"/>
          <w:w w:val="80"/>
          <w:sz w:val="12"/>
          <w:szCs w:val="12"/>
        </w:rPr>
        <w:t>Remplacement</w:t>
      </w:r>
      <w:r w:rsidRPr="0063540E">
        <w:rPr>
          <w:spacing w:val="5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d’un</w:t>
      </w:r>
      <w:r w:rsidRPr="0063540E">
        <w:rPr>
          <w:spacing w:val="5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participant</w:t>
      </w:r>
    </w:p>
    <w:p w14:paraId="4DFAD888" w14:textId="0F662898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C</w:t>
      </w:r>
      <w:r w:rsidR="003C1BDE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offre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possibilité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remplacer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participant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empêché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participant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ayant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même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profil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mêmes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besoins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remplacement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participant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est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possible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indemnité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jusqu’à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10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jours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ouvrés. Si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remplacement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intervient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moins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10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jours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ouvrés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avant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démarrage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ouvre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droit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indemnité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forfaitaire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50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€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profit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926F04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.</w:t>
      </w:r>
    </w:p>
    <w:p w14:paraId="3660EDF6" w14:textId="77777777" w:rsidR="00433D1F" w:rsidRPr="0063540E" w:rsidRDefault="00433D1F">
      <w:pPr>
        <w:pStyle w:val="Corpsdetexte"/>
        <w:spacing w:before="5" w:line="249" w:lineRule="auto"/>
        <w:ind w:left="113" w:right="3"/>
        <w:rPr>
          <w:sz w:val="12"/>
          <w:szCs w:val="12"/>
        </w:rPr>
      </w:pPr>
    </w:p>
    <w:p w14:paraId="2B51CA1A" w14:textId="77777777" w:rsidR="009B4371" w:rsidRPr="0063540E" w:rsidRDefault="00782CB1">
      <w:pPr>
        <w:pStyle w:val="Paragraphedeliste"/>
        <w:numPr>
          <w:ilvl w:val="2"/>
          <w:numId w:val="5"/>
        </w:numPr>
        <w:tabs>
          <w:tab w:val="left" w:pos="316"/>
        </w:tabs>
        <w:spacing w:before="2"/>
        <w:ind w:left="316" w:hanging="203"/>
        <w:rPr>
          <w:sz w:val="12"/>
          <w:szCs w:val="12"/>
        </w:rPr>
      </w:pPr>
      <w:r w:rsidRPr="0063540E">
        <w:rPr>
          <w:spacing w:val="-2"/>
          <w:w w:val="80"/>
          <w:sz w:val="12"/>
          <w:szCs w:val="12"/>
        </w:rPr>
        <w:t>Insuffisance</w:t>
      </w:r>
      <w:r w:rsidRPr="0063540E">
        <w:rPr>
          <w:spacing w:val="1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du</w:t>
      </w:r>
      <w:r w:rsidRPr="0063540E">
        <w:rPr>
          <w:spacing w:val="1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nombre</w:t>
      </w:r>
      <w:r w:rsidRPr="0063540E">
        <w:rPr>
          <w:spacing w:val="1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de</w:t>
      </w:r>
      <w:r w:rsidRPr="0063540E">
        <w:rPr>
          <w:spacing w:val="2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participants</w:t>
      </w:r>
      <w:r w:rsidRPr="0063540E">
        <w:rPr>
          <w:spacing w:val="1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à</w:t>
      </w:r>
      <w:r w:rsidRPr="0063540E">
        <w:rPr>
          <w:spacing w:val="1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une</w:t>
      </w:r>
      <w:r w:rsidRPr="0063540E">
        <w:rPr>
          <w:spacing w:val="2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session</w:t>
      </w:r>
    </w:p>
    <w:p w14:paraId="7BC3021C" w14:textId="5BBAA5A5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Dans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où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nombre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participants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serait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insuffisant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assurer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bon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déroulement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session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926F04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réserve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possibilité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d’ajourner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plus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tard une semaine avant la date prévue et ce,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sans indemnités.</w:t>
      </w:r>
    </w:p>
    <w:p w14:paraId="70F137F7" w14:textId="77777777" w:rsidR="00433D1F" w:rsidRPr="0063540E" w:rsidRDefault="00433D1F">
      <w:pPr>
        <w:pStyle w:val="Corpsdetexte"/>
        <w:spacing w:before="6" w:line="249" w:lineRule="auto"/>
        <w:ind w:left="113" w:right="29"/>
        <w:rPr>
          <w:sz w:val="12"/>
          <w:szCs w:val="12"/>
        </w:rPr>
      </w:pPr>
    </w:p>
    <w:p w14:paraId="0334F4FF" w14:textId="77777777" w:rsidR="009B4371" w:rsidRPr="0063540E" w:rsidRDefault="00782CB1">
      <w:pPr>
        <w:pStyle w:val="Titre2"/>
        <w:numPr>
          <w:ilvl w:val="1"/>
          <w:numId w:val="5"/>
        </w:numPr>
        <w:tabs>
          <w:tab w:val="left" w:pos="272"/>
        </w:tabs>
        <w:spacing w:before="2"/>
        <w:ind w:left="272" w:hanging="159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z w:val="12"/>
          <w:szCs w:val="12"/>
        </w:rPr>
        <w:t xml:space="preserve">Formations </w:t>
      </w:r>
      <w:r w:rsidRPr="0063540E">
        <w:rPr>
          <w:rFonts w:ascii="Arial" w:hAnsi="Arial" w:cs="Arial"/>
          <w:spacing w:val="-2"/>
          <w:sz w:val="12"/>
          <w:szCs w:val="12"/>
        </w:rPr>
        <w:t>intraentreprise</w:t>
      </w:r>
    </w:p>
    <w:p w14:paraId="21A781D4" w14:textId="77777777" w:rsidR="009B4371" w:rsidRPr="0063540E" w:rsidRDefault="00782CB1">
      <w:pPr>
        <w:pStyle w:val="Paragraphedeliste"/>
        <w:numPr>
          <w:ilvl w:val="2"/>
          <w:numId w:val="5"/>
        </w:numPr>
        <w:tabs>
          <w:tab w:val="left" w:pos="316"/>
        </w:tabs>
        <w:spacing w:before="4"/>
        <w:ind w:left="316" w:hanging="203"/>
        <w:rPr>
          <w:sz w:val="12"/>
          <w:szCs w:val="12"/>
        </w:rPr>
      </w:pPr>
      <w:r w:rsidRPr="0063540E">
        <w:rPr>
          <w:spacing w:val="-2"/>
          <w:w w:val="95"/>
          <w:sz w:val="12"/>
          <w:szCs w:val="12"/>
        </w:rPr>
        <w:t>Descriptif</w:t>
      </w:r>
    </w:p>
    <w:p w14:paraId="322C556C" w14:textId="1233E859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Les dispositions du présent article concernent des formations intraentreprise développées 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mesure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exécutées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locaux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493EFD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locaux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mis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disposition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distance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(classes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distance,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classes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virtuelles).</w:t>
      </w:r>
    </w:p>
    <w:p w14:paraId="35D27CE1" w14:textId="77777777" w:rsidR="00433D1F" w:rsidRPr="0063540E" w:rsidRDefault="00433D1F">
      <w:pPr>
        <w:pStyle w:val="Corpsdetexte"/>
        <w:spacing w:before="5" w:line="249" w:lineRule="auto"/>
        <w:ind w:left="113" w:right="3"/>
        <w:rPr>
          <w:sz w:val="12"/>
          <w:szCs w:val="12"/>
        </w:rPr>
      </w:pPr>
    </w:p>
    <w:p w14:paraId="69D5CB93" w14:textId="77777777" w:rsidR="009B4371" w:rsidRPr="0063540E" w:rsidRDefault="00782CB1">
      <w:pPr>
        <w:pStyle w:val="Paragraphedeliste"/>
        <w:numPr>
          <w:ilvl w:val="2"/>
          <w:numId w:val="5"/>
        </w:numPr>
        <w:tabs>
          <w:tab w:val="left" w:pos="316"/>
        </w:tabs>
        <w:spacing w:before="2"/>
        <w:ind w:left="316" w:hanging="203"/>
        <w:rPr>
          <w:sz w:val="12"/>
          <w:szCs w:val="12"/>
        </w:rPr>
      </w:pPr>
      <w:r w:rsidRPr="0063540E">
        <w:rPr>
          <w:spacing w:val="-2"/>
          <w:w w:val="80"/>
          <w:sz w:val="12"/>
          <w:szCs w:val="12"/>
        </w:rPr>
        <w:t>Conditions</w:t>
      </w:r>
      <w:r w:rsidRPr="0063540E">
        <w:rPr>
          <w:spacing w:val="-2"/>
          <w:sz w:val="12"/>
          <w:szCs w:val="12"/>
        </w:rPr>
        <w:t xml:space="preserve"> </w:t>
      </w:r>
      <w:r w:rsidRPr="0063540E">
        <w:rPr>
          <w:spacing w:val="-2"/>
          <w:w w:val="85"/>
          <w:sz w:val="12"/>
          <w:szCs w:val="12"/>
        </w:rPr>
        <w:t>financières</w:t>
      </w:r>
    </w:p>
    <w:p w14:paraId="49EFC136" w14:textId="4D1984B9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Toute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intraentreprise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fera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préalablement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l’objet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d’une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proposition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commerciale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 financière par C</w:t>
      </w:r>
      <w:r w:rsidR="003B3551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Sauf disposition contraire dans la proposition C</w:t>
      </w:r>
      <w:r w:rsidR="003B3551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 acompte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minimum de 20 % du coût total de la formation sera versé par le Client.</w:t>
      </w:r>
    </w:p>
    <w:p w14:paraId="0DD4034C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 cas échéant, le prix est révisable à la date anniversaire du contrat par application de 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formule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révision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visée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7.2.3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ci-après.</w:t>
      </w:r>
    </w:p>
    <w:p w14:paraId="27A767D5" w14:textId="77777777" w:rsidR="0093118A" w:rsidRPr="0063540E" w:rsidRDefault="0093118A">
      <w:pPr>
        <w:pStyle w:val="Corpsdetexte"/>
        <w:spacing w:before="1" w:line="249" w:lineRule="auto"/>
        <w:ind w:left="113"/>
        <w:rPr>
          <w:sz w:val="12"/>
          <w:szCs w:val="12"/>
        </w:rPr>
      </w:pPr>
    </w:p>
    <w:p w14:paraId="430C6652" w14:textId="77777777" w:rsidR="009B4371" w:rsidRPr="0063540E" w:rsidRDefault="00782CB1">
      <w:pPr>
        <w:pStyle w:val="Titre1"/>
        <w:numPr>
          <w:ilvl w:val="0"/>
          <w:numId w:val="2"/>
        </w:numPr>
        <w:tabs>
          <w:tab w:val="left" w:pos="206"/>
        </w:tabs>
        <w:spacing w:before="53"/>
        <w:ind w:left="206" w:hanging="130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color w:val="7F5CA3"/>
          <w:spacing w:val="-2"/>
          <w:w w:val="110"/>
          <w:sz w:val="12"/>
          <w:szCs w:val="12"/>
        </w:rPr>
        <w:t>DISPOSITIONS</w:t>
      </w:r>
      <w:r w:rsidRPr="0063540E">
        <w:rPr>
          <w:rFonts w:ascii="Arial" w:hAnsi="Arial" w:cs="Arial"/>
          <w:color w:val="7F5CA3"/>
          <w:spacing w:val="5"/>
          <w:w w:val="110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spacing w:val="-2"/>
          <w:w w:val="110"/>
          <w:sz w:val="12"/>
          <w:szCs w:val="12"/>
        </w:rPr>
        <w:t>COMMUNES</w:t>
      </w:r>
      <w:r w:rsidRPr="0063540E">
        <w:rPr>
          <w:rFonts w:ascii="Arial" w:hAnsi="Arial" w:cs="Arial"/>
          <w:color w:val="7F5CA3"/>
          <w:spacing w:val="1"/>
          <w:w w:val="110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spacing w:val="-2"/>
          <w:w w:val="110"/>
          <w:sz w:val="12"/>
          <w:szCs w:val="12"/>
        </w:rPr>
        <w:t>AUX</w:t>
      </w:r>
      <w:r w:rsidRPr="0063540E">
        <w:rPr>
          <w:rFonts w:ascii="Arial" w:hAnsi="Arial" w:cs="Arial"/>
          <w:color w:val="7F5CA3"/>
          <w:spacing w:val="5"/>
          <w:w w:val="110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spacing w:val="-2"/>
          <w:w w:val="110"/>
          <w:sz w:val="12"/>
          <w:szCs w:val="12"/>
        </w:rPr>
        <w:t>FORMATIONS</w:t>
      </w:r>
    </w:p>
    <w:p w14:paraId="4DBE2A36" w14:textId="77777777" w:rsidR="009B4371" w:rsidRPr="0063540E" w:rsidRDefault="00782CB1">
      <w:pPr>
        <w:pStyle w:val="Titre2"/>
        <w:numPr>
          <w:ilvl w:val="1"/>
          <w:numId w:val="2"/>
        </w:numPr>
        <w:tabs>
          <w:tab w:val="left" w:pos="231"/>
        </w:tabs>
        <w:spacing w:before="6"/>
        <w:ind w:left="231" w:hanging="155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w w:val="105"/>
          <w:sz w:val="12"/>
          <w:szCs w:val="12"/>
        </w:rPr>
        <w:t>Documents</w:t>
      </w:r>
      <w:r w:rsidRPr="0063540E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spacing w:val="-2"/>
          <w:w w:val="105"/>
          <w:sz w:val="12"/>
          <w:szCs w:val="12"/>
        </w:rPr>
        <w:t>contractuels</w:t>
      </w:r>
    </w:p>
    <w:p w14:paraId="51B16E1C" w14:textId="0F1C0002" w:rsidR="009B4371" w:rsidRPr="0063540E" w:rsidRDefault="00782CB1" w:rsidP="005C0D70">
      <w:pPr>
        <w:pStyle w:val="Corpsdetexte"/>
        <w:spacing w:before="7" w:line="256" w:lineRule="auto"/>
        <w:ind w:right="109"/>
        <w:rPr>
          <w:spacing w:val="-2"/>
          <w:w w:val="80"/>
        </w:rPr>
      </w:pPr>
      <w:r w:rsidRPr="0063540E">
        <w:rPr>
          <w:spacing w:val="-2"/>
          <w:w w:val="80"/>
        </w:rPr>
        <w:t>Pour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chaque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action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convention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établie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selon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articles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6353-1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6353-2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travail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est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adressée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exemplaires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est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retourner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revêtu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cachet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l’entreprise. L’attestation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participation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est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adressée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après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formation.</w:t>
      </w:r>
      <w:r w:rsidR="005C0D70"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attestation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présence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chaque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peut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être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fournie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demande.</w:t>
      </w:r>
    </w:p>
    <w:p w14:paraId="0DF62460" w14:textId="77777777" w:rsidR="00433D1F" w:rsidRPr="0063540E" w:rsidRDefault="00433D1F" w:rsidP="005C0D70">
      <w:pPr>
        <w:pStyle w:val="Corpsdetexte"/>
        <w:spacing w:before="7" w:line="256" w:lineRule="auto"/>
        <w:ind w:right="109"/>
        <w:rPr>
          <w:sz w:val="12"/>
          <w:szCs w:val="12"/>
        </w:rPr>
      </w:pPr>
    </w:p>
    <w:p w14:paraId="1ED9F7AC" w14:textId="77777777" w:rsidR="009B4371" w:rsidRPr="0063540E" w:rsidRDefault="00782CB1">
      <w:pPr>
        <w:pStyle w:val="Titre2"/>
        <w:numPr>
          <w:ilvl w:val="1"/>
          <w:numId w:val="2"/>
        </w:numPr>
        <w:tabs>
          <w:tab w:val="left" w:pos="238"/>
        </w:tabs>
        <w:spacing w:before="7"/>
        <w:ind w:left="238" w:hanging="162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z w:val="12"/>
          <w:szCs w:val="12"/>
        </w:rPr>
        <w:t>Règlement</w:t>
      </w:r>
      <w:r w:rsidRPr="0063540E">
        <w:rPr>
          <w:rFonts w:ascii="Arial" w:hAnsi="Arial" w:cs="Arial"/>
          <w:spacing w:val="7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par</w:t>
      </w:r>
      <w:r w:rsidRPr="0063540E">
        <w:rPr>
          <w:rFonts w:ascii="Arial" w:hAnsi="Arial" w:cs="Arial"/>
          <w:spacing w:val="4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un</w:t>
      </w:r>
      <w:r w:rsidRPr="0063540E">
        <w:rPr>
          <w:rFonts w:ascii="Arial" w:hAnsi="Arial" w:cs="Arial"/>
          <w:spacing w:val="7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Opérateur</w:t>
      </w:r>
      <w:r w:rsidRPr="0063540E">
        <w:rPr>
          <w:rFonts w:ascii="Arial" w:hAnsi="Arial" w:cs="Arial"/>
          <w:spacing w:val="4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de</w:t>
      </w:r>
      <w:r w:rsidRPr="0063540E">
        <w:rPr>
          <w:rFonts w:ascii="Arial" w:hAnsi="Arial" w:cs="Arial"/>
          <w:spacing w:val="8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compétences</w:t>
      </w:r>
      <w:r w:rsidRPr="0063540E">
        <w:rPr>
          <w:rFonts w:ascii="Arial" w:hAnsi="Arial" w:cs="Arial"/>
          <w:spacing w:val="7"/>
          <w:sz w:val="12"/>
          <w:szCs w:val="12"/>
        </w:rPr>
        <w:t xml:space="preserve"> </w:t>
      </w:r>
      <w:r w:rsidRPr="0063540E">
        <w:rPr>
          <w:rFonts w:ascii="Arial" w:hAnsi="Arial" w:cs="Arial"/>
          <w:spacing w:val="-2"/>
          <w:sz w:val="12"/>
          <w:szCs w:val="12"/>
        </w:rPr>
        <w:t>(OPCO)</w:t>
      </w:r>
    </w:p>
    <w:p w14:paraId="2AFF509C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règlement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l’OPCO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dépend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appartient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d’effectuer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demande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prise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charge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avant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début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auprès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l’OPCO.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L’accord</w:t>
      </w:r>
    </w:p>
    <w:p w14:paraId="1FC44352" w14:textId="1A52CCED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financement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doit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être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communiqué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moment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l’inscription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l’exemplaire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convention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retourne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signé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B53A00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prise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charge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partielle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l’OPCO, 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différence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sera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directement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facturée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B53A00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Client. Si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l’accord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prise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 charge de l’OPCO ne parvient pas à C</w:t>
      </w:r>
      <w:r w:rsidR="00B53A00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au premier jour de la formation,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B53A00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réserve la possibilité de facturer la totalité des frais de formation au Client.</w:t>
      </w:r>
    </w:p>
    <w:p w14:paraId="052543B2" w14:textId="77777777" w:rsidR="00433D1F" w:rsidRDefault="00433D1F">
      <w:pPr>
        <w:pStyle w:val="Corpsdetexte"/>
        <w:spacing w:line="256" w:lineRule="auto"/>
        <w:ind w:right="70"/>
        <w:rPr>
          <w:sz w:val="12"/>
          <w:szCs w:val="12"/>
        </w:rPr>
      </w:pPr>
    </w:p>
    <w:p w14:paraId="091E3B06" w14:textId="77777777" w:rsidR="007A38AC" w:rsidRDefault="007A38AC">
      <w:pPr>
        <w:pStyle w:val="Corpsdetexte"/>
        <w:spacing w:line="256" w:lineRule="auto"/>
        <w:ind w:right="70"/>
        <w:rPr>
          <w:sz w:val="12"/>
          <w:szCs w:val="12"/>
        </w:rPr>
      </w:pPr>
    </w:p>
    <w:p w14:paraId="75D82704" w14:textId="77777777" w:rsidR="007A38AC" w:rsidRDefault="007A38AC">
      <w:pPr>
        <w:pStyle w:val="Corpsdetexte"/>
        <w:spacing w:line="256" w:lineRule="auto"/>
        <w:ind w:right="70"/>
        <w:rPr>
          <w:sz w:val="12"/>
          <w:szCs w:val="12"/>
        </w:rPr>
      </w:pPr>
    </w:p>
    <w:p w14:paraId="266868B6" w14:textId="77777777" w:rsidR="007A38AC" w:rsidRDefault="007A38AC">
      <w:pPr>
        <w:pStyle w:val="Corpsdetexte"/>
        <w:spacing w:line="256" w:lineRule="auto"/>
        <w:ind w:right="70"/>
        <w:rPr>
          <w:sz w:val="12"/>
          <w:szCs w:val="12"/>
        </w:rPr>
      </w:pPr>
    </w:p>
    <w:p w14:paraId="3F4942C8" w14:textId="77777777" w:rsidR="007A38AC" w:rsidRDefault="007A38AC">
      <w:pPr>
        <w:pStyle w:val="Corpsdetexte"/>
        <w:spacing w:line="256" w:lineRule="auto"/>
        <w:ind w:right="70"/>
        <w:rPr>
          <w:sz w:val="12"/>
          <w:szCs w:val="12"/>
        </w:rPr>
      </w:pPr>
    </w:p>
    <w:p w14:paraId="59555317" w14:textId="77777777" w:rsidR="007A38AC" w:rsidRDefault="007A38AC">
      <w:pPr>
        <w:pStyle w:val="Corpsdetexte"/>
        <w:spacing w:line="256" w:lineRule="auto"/>
        <w:ind w:right="70"/>
        <w:rPr>
          <w:sz w:val="12"/>
          <w:szCs w:val="12"/>
        </w:rPr>
      </w:pPr>
    </w:p>
    <w:p w14:paraId="6EC5E635" w14:textId="77777777" w:rsidR="007A38AC" w:rsidRDefault="007A38AC">
      <w:pPr>
        <w:pStyle w:val="Corpsdetexte"/>
        <w:spacing w:line="256" w:lineRule="auto"/>
        <w:ind w:right="70"/>
        <w:rPr>
          <w:sz w:val="12"/>
          <w:szCs w:val="12"/>
        </w:rPr>
      </w:pPr>
    </w:p>
    <w:p w14:paraId="395F57E4" w14:textId="77777777" w:rsidR="007A38AC" w:rsidRDefault="007A38AC">
      <w:pPr>
        <w:pStyle w:val="Corpsdetexte"/>
        <w:spacing w:line="256" w:lineRule="auto"/>
        <w:ind w:right="70"/>
        <w:rPr>
          <w:sz w:val="12"/>
          <w:szCs w:val="12"/>
        </w:rPr>
      </w:pPr>
    </w:p>
    <w:p w14:paraId="4FA10101" w14:textId="77777777" w:rsidR="007A38AC" w:rsidRPr="0063540E" w:rsidRDefault="007A38AC">
      <w:pPr>
        <w:pStyle w:val="Corpsdetexte"/>
        <w:spacing w:line="256" w:lineRule="auto"/>
        <w:ind w:right="70"/>
        <w:rPr>
          <w:sz w:val="12"/>
          <w:szCs w:val="12"/>
        </w:rPr>
      </w:pPr>
    </w:p>
    <w:p w14:paraId="2FAB36DF" w14:textId="77777777" w:rsidR="007A38AC" w:rsidRPr="00A214DE" w:rsidRDefault="007A38AC" w:rsidP="007A38AC">
      <w:pPr>
        <w:pStyle w:val="Titre2"/>
        <w:tabs>
          <w:tab w:val="left" w:pos="235"/>
        </w:tabs>
        <w:spacing w:line="254" w:lineRule="auto"/>
        <w:ind w:left="76" w:right="244" w:firstLine="0"/>
        <w:rPr>
          <w:rFonts w:ascii="Arial" w:hAnsi="Arial" w:cs="Arial"/>
          <w:b w:val="0"/>
          <w:bCs w:val="0"/>
          <w:sz w:val="20"/>
          <w:szCs w:val="20"/>
        </w:rPr>
      </w:pPr>
    </w:p>
    <w:p w14:paraId="475761AD" w14:textId="68C02DD5" w:rsidR="009B4371" w:rsidRPr="0063540E" w:rsidRDefault="00782CB1">
      <w:pPr>
        <w:pStyle w:val="Titre2"/>
        <w:numPr>
          <w:ilvl w:val="1"/>
          <w:numId w:val="2"/>
        </w:numPr>
        <w:tabs>
          <w:tab w:val="left" w:pos="235"/>
        </w:tabs>
        <w:spacing w:line="254" w:lineRule="auto"/>
        <w:ind w:left="76" w:right="244" w:firstLine="0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pacing w:val="-2"/>
          <w:w w:val="105"/>
          <w:sz w:val="12"/>
          <w:szCs w:val="12"/>
        </w:rPr>
        <w:t>Annulation des formations à distance et/ou en présentiel</w:t>
      </w:r>
      <w:r w:rsidRPr="0063540E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spacing w:val="-2"/>
          <w:w w:val="105"/>
          <w:sz w:val="12"/>
          <w:szCs w:val="12"/>
        </w:rPr>
        <w:t>à</w:t>
      </w:r>
      <w:r w:rsidRPr="0063540E">
        <w:rPr>
          <w:rFonts w:ascii="Arial" w:hAnsi="Arial" w:cs="Arial"/>
          <w:spacing w:val="40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w w:val="105"/>
          <w:sz w:val="12"/>
          <w:szCs w:val="12"/>
        </w:rPr>
        <w:t>l’initiative</w:t>
      </w:r>
      <w:r w:rsidRPr="0063540E">
        <w:rPr>
          <w:rFonts w:ascii="Arial" w:hAnsi="Arial" w:cs="Arial"/>
          <w:spacing w:val="-6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w w:val="105"/>
          <w:sz w:val="12"/>
          <w:szCs w:val="12"/>
        </w:rPr>
        <w:t>du</w:t>
      </w:r>
      <w:r w:rsidRPr="0063540E">
        <w:rPr>
          <w:rFonts w:ascii="Arial" w:hAnsi="Arial" w:cs="Arial"/>
          <w:spacing w:val="-6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w w:val="105"/>
          <w:sz w:val="12"/>
          <w:szCs w:val="12"/>
        </w:rPr>
        <w:t>Client</w:t>
      </w:r>
    </w:p>
    <w:p w14:paraId="181292EE" w14:textId="0445D43C" w:rsid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Les dates de formation sont fixées d’un commun accord entre C</w:t>
      </w:r>
      <w:r w:rsidR="001A4213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et le Client et sont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bloquées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façon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ferme.</w:t>
      </w:r>
    </w:p>
    <w:p w14:paraId="2093F4B2" w14:textId="62B36ABC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En cas d’annulation tardive par le Client d’une session de formation planifiée en commun,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 indemnités compensatrices sont dues dans les conditions suivantes :</w:t>
      </w:r>
    </w:p>
    <w:p w14:paraId="671F1539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report ou annulation communiqué au moins 30 jours ouvrés avant la session : aucune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indemnité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;</w:t>
      </w:r>
    </w:p>
    <w:p w14:paraId="2E7E0D44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report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annulation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communiqué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moins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30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jours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moins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15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jours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ouvrés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avant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session :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30 % des honoraires relatifs à la session seront facturés au Client ;</w:t>
      </w:r>
    </w:p>
    <w:p w14:paraId="34CFB036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report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annulation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communiqué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moins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15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jours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ouvrés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avant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session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: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70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%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honoraires relatifs à la session seront facturés au Client.</w:t>
      </w:r>
    </w:p>
    <w:p w14:paraId="5CFF133A" w14:textId="77777777" w:rsidR="00433D1F" w:rsidRPr="0063540E" w:rsidRDefault="00433D1F" w:rsidP="00433D1F">
      <w:pPr>
        <w:pStyle w:val="Paragraphedeliste"/>
        <w:tabs>
          <w:tab w:val="left" w:pos="129"/>
          <w:tab w:val="left" w:pos="131"/>
        </w:tabs>
        <w:spacing w:line="256" w:lineRule="auto"/>
        <w:ind w:left="131" w:right="101" w:firstLine="0"/>
        <w:rPr>
          <w:sz w:val="12"/>
          <w:szCs w:val="12"/>
        </w:rPr>
      </w:pPr>
    </w:p>
    <w:p w14:paraId="1EA7DE89" w14:textId="77777777" w:rsidR="009B4371" w:rsidRPr="0063540E" w:rsidRDefault="00782CB1">
      <w:pPr>
        <w:pStyle w:val="Titre2"/>
        <w:numPr>
          <w:ilvl w:val="1"/>
          <w:numId w:val="2"/>
        </w:numPr>
        <w:tabs>
          <w:tab w:val="left" w:pos="236"/>
        </w:tabs>
        <w:spacing w:line="115" w:lineRule="exact"/>
        <w:ind w:left="236" w:hanging="160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z w:val="12"/>
          <w:szCs w:val="12"/>
        </w:rPr>
        <w:t>Absence du</w:t>
      </w:r>
      <w:r w:rsidRPr="0063540E">
        <w:rPr>
          <w:rFonts w:ascii="Arial" w:hAnsi="Arial" w:cs="Arial"/>
          <w:spacing w:val="1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stagiaire</w:t>
      </w:r>
      <w:r w:rsidRPr="0063540E">
        <w:rPr>
          <w:rFonts w:ascii="Arial" w:hAnsi="Arial" w:cs="Arial"/>
          <w:spacing w:val="1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le</w:t>
      </w:r>
      <w:r w:rsidRPr="0063540E">
        <w:rPr>
          <w:rFonts w:ascii="Arial" w:hAnsi="Arial" w:cs="Arial"/>
          <w:spacing w:val="1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jour</w:t>
      </w:r>
      <w:r w:rsidRPr="0063540E">
        <w:rPr>
          <w:rFonts w:ascii="Arial" w:hAnsi="Arial" w:cs="Arial"/>
          <w:spacing w:val="-2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de</w:t>
      </w:r>
      <w:r w:rsidRPr="0063540E">
        <w:rPr>
          <w:rFonts w:ascii="Arial" w:hAnsi="Arial" w:cs="Arial"/>
          <w:spacing w:val="1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la</w:t>
      </w:r>
      <w:r w:rsidRPr="0063540E">
        <w:rPr>
          <w:rFonts w:ascii="Arial" w:hAnsi="Arial" w:cs="Arial"/>
          <w:spacing w:val="1"/>
          <w:sz w:val="12"/>
          <w:szCs w:val="12"/>
        </w:rPr>
        <w:t xml:space="preserve"> </w:t>
      </w:r>
      <w:r w:rsidRPr="0063540E">
        <w:rPr>
          <w:rFonts w:ascii="Arial" w:hAnsi="Arial" w:cs="Arial"/>
          <w:spacing w:val="-2"/>
          <w:sz w:val="12"/>
          <w:szCs w:val="12"/>
        </w:rPr>
        <w:t>formation</w:t>
      </w:r>
    </w:p>
    <w:p w14:paraId="2910FC39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Dans l’hypothèse où le stagiaire ne se présente par le jour de la formation, le coût de 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session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sera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facturé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100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%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Client.</w:t>
      </w:r>
    </w:p>
    <w:p w14:paraId="2F7C83C3" w14:textId="77777777" w:rsidR="0093118A" w:rsidRPr="0063540E" w:rsidRDefault="0093118A">
      <w:pPr>
        <w:pStyle w:val="Corpsdetexte"/>
        <w:spacing w:line="256" w:lineRule="auto"/>
        <w:ind w:right="105"/>
        <w:rPr>
          <w:spacing w:val="-2"/>
          <w:w w:val="80"/>
          <w:sz w:val="12"/>
          <w:szCs w:val="12"/>
        </w:rPr>
      </w:pPr>
    </w:p>
    <w:p w14:paraId="0BA8D101" w14:textId="262F715B" w:rsidR="009B4371" w:rsidRPr="0063540E" w:rsidRDefault="00782CB1">
      <w:pPr>
        <w:pStyle w:val="Titre1"/>
        <w:numPr>
          <w:ilvl w:val="0"/>
          <w:numId w:val="2"/>
        </w:numPr>
        <w:tabs>
          <w:tab w:val="left" w:pos="193"/>
          <w:tab w:val="left" w:pos="196"/>
        </w:tabs>
        <w:spacing w:before="54" w:line="254" w:lineRule="auto"/>
        <w:ind w:left="196" w:right="293" w:hanging="120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color w:val="7F5CA3"/>
          <w:w w:val="105"/>
          <w:sz w:val="12"/>
          <w:szCs w:val="12"/>
        </w:rPr>
        <w:t>DISPOSITIONS</w:t>
      </w:r>
      <w:r w:rsidRPr="0063540E">
        <w:rPr>
          <w:rFonts w:ascii="Arial" w:hAnsi="Arial" w:cs="Arial"/>
          <w:color w:val="7F5CA3"/>
          <w:spacing w:val="-10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APPLICABLES</w:t>
      </w:r>
      <w:r w:rsidRPr="0063540E">
        <w:rPr>
          <w:rFonts w:ascii="Arial" w:hAnsi="Arial" w:cs="Arial"/>
          <w:color w:val="7F5CA3"/>
          <w:spacing w:val="-10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À</w:t>
      </w:r>
      <w:r w:rsidRPr="0063540E">
        <w:rPr>
          <w:rFonts w:ascii="Arial" w:hAnsi="Arial" w:cs="Arial"/>
          <w:color w:val="7F5CA3"/>
          <w:spacing w:val="-10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L’ENSEMBLE</w:t>
      </w:r>
      <w:r w:rsidRPr="0063540E">
        <w:rPr>
          <w:rFonts w:ascii="Arial" w:hAnsi="Arial" w:cs="Arial"/>
          <w:color w:val="7F5CA3"/>
          <w:spacing w:val="-7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DE</w:t>
      </w:r>
      <w:r w:rsidRPr="0063540E">
        <w:rPr>
          <w:rFonts w:ascii="Arial" w:hAnsi="Arial" w:cs="Arial"/>
          <w:color w:val="7F5CA3"/>
          <w:spacing w:val="-7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L’OFFRE</w:t>
      </w:r>
      <w:r w:rsidRPr="0063540E">
        <w:rPr>
          <w:rFonts w:ascii="Arial" w:hAnsi="Arial" w:cs="Arial"/>
          <w:color w:val="7F5CA3"/>
          <w:spacing w:val="-7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DE</w:t>
      </w:r>
      <w:r w:rsidRPr="0063540E">
        <w:rPr>
          <w:rFonts w:ascii="Arial" w:hAnsi="Arial" w:cs="Arial"/>
          <w:color w:val="7F5CA3"/>
          <w:spacing w:val="40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SERVICES</w:t>
      </w:r>
      <w:r w:rsidRPr="0063540E">
        <w:rPr>
          <w:rFonts w:ascii="Arial" w:hAnsi="Arial" w:cs="Arial"/>
          <w:color w:val="7F5CA3"/>
          <w:spacing w:val="-9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color w:val="7F5CA3"/>
          <w:w w:val="105"/>
          <w:sz w:val="12"/>
          <w:szCs w:val="12"/>
        </w:rPr>
        <w:t>C</w:t>
      </w:r>
      <w:r w:rsidR="00932F26" w:rsidRPr="0063540E">
        <w:rPr>
          <w:rFonts w:ascii="Arial" w:hAnsi="Arial" w:cs="Arial"/>
          <w:color w:val="7F5CA3"/>
          <w:w w:val="105"/>
          <w:sz w:val="12"/>
          <w:szCs w:val="12"/>
        </w:rPr>
        <w:t>onvergence</w:t>
      </w:r>
    </w:p>
    <w:p w14:paraId="6666D2FA" w14:textId="77777777" w:rsidR="009B4371" w:rsidRPr="0063540E" w:rsidRDefault="00782CB1">
      <w:pPr>
        <w:pStyle w:val="Titre2"/>
        <w:numPr>
          <w:ilvl w:val="1"/>
          <w:numId w:val="2"/>
        </w:numPr>
        <w:tabs>
          <w:tab w:val="left" w:pos="219"/>
        </w:tabs>
        <w:spacing w:line="115" w:lineRule="exact"/>
        <w:ind w:left="219" w:hanging="143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w w:val="105"/>
          <w:sz w:val="12"/>
          <w:szCs w:val="12"/>
        </w:rPr>
        <w:t>Modalités</w:t>
      </w:r>
      <w:r w:rsidRPr="0063540E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w w:val="105"/>
          <w:sz w:val="12"/>
          <w:szCs w:val="12"/>
        </w:rPr>
        <w:t>de</w:t>
      </w:r>
      <w:r w:rsidRPr="0063540E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w w:val="105"/>
          <w:sz w:val="12"/>
          <w:szCs w:val="12"/>
        </w:rPr>
        <w:t>passation</w:t>
      </w:r>
      <w:r w:rsidRPr="0063540E">
        <w:rPr>
          <w:rFonts w:ascii="Arial" w:hAnsi="Arial" w:cs="Arial"/>
          <w:spacing w:val="-4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w w:val="105"/>
          <w:sz w:val="12"/>
          <w:szCs w:val="12"/>
        </w:rPr>
        <w:t>des</w:t>
      </w:r>
      <w:r w:rsidRPr="0063540E">
        <w:rPr>
          <w:rFonts w:ascii="Arial" w:hAnsi="Arial" w:cs="Arial"/>
          <w:spacing w:val="-5"/>
          <w:w w:val="105"/>
          <w:sz w:val="12"/>
          <w:szCs w:val="12"/>
        </w:rPr>
        <w:t xml:space="preserve"> </w:t>
      </w:r>
      <w:r w:rsidRPr="0063540E">
        <w:rPr>
          <w:rFonts w:ascii="Arial" w:hAnsi="Arial" w:cs="Arial"/>
          <w:spacing w:val="-2"/>
          <w:w w:val="105"/>
          <w:sz w:val="12"/>
          <w:szCs w:val="12"/>
        </w:rPr>
        <w:t>Commandes</w:t>
      </w:r>
    </w:p>
    <w:p w14:paraId="11B8A2D4" w14:textId="7BC084CB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La proposition et les prix indiqués par C</w:t>
      </w:r>
      <w:r w:rsidR="00932F26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sont valables un (1) mois à compter de l’envoi</w:t>
      </w:r>
      <w:r w:rsidR="00932F26"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bon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commande.</w:t>
      </w:r>
    </w:p>
    <w:p w14:paraId="734B68F8" w14:textId="7737A671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L’offre de services est réputée acceptée dès la réception par C</w:t>
      </w:r>
      <w:r w:rsidR="00932F26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d’un bon de commande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signé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représentant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dûment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habilité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délai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(1)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mois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compter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l’émission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dudit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bon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commande.</w:t>
      </w:r>
    </w:p>
    <w:p w14:paraId="2F06D6A6" w14:textId="19335C89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signature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bon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commande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et/ou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l’accord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proposition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implique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connaissance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 l’acceptation irrévocable et sans réserve des présentes conditions,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lesquelles pourront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être modifiées par C</w:t>
      </w:r>
      <w:r w:rsidR="00932F26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à tout moment, sans préavis, et sans que cette modification ouvre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droit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indemnité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profit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Client.</w:t>
      </w:r>
    </w:p>
    <w:p w14:paraId="61BFBF31" w14:textId="77777777" w:rsidR="00433D1F" w:rsidRPr="0063540E" w:rsidRDefault="00433D1F">
      <w:pPr>
        <w:pStyle w:val="Corpsdetexte"/>
        <w:spacing w:line="256" w:lineRule="auto"/>
        <w:rPr>
          <w:sz w:val="12"/>
          <w:szCs w:val="12"/>
        </w:rPr>
      </w:pPr>
    </w:p>
    <w:p w14:paraId="34656F27" w14:textId="77777777" w:rsidR="009B4371" w:rsidRPr="0063540E" w:rsidRDefault="00782CB1">
      <w:pPr>
        <w:pStyle w:val="Titre2"/>
        <w:numPr>
          <w:ilvl w:val="1"/>
          <w:numId w:val="1"/>
        </w:numPr>
        <w:tabs>
          <w:tab w:val="left" w:pos="248"/>
        </w:tabs>
        <w:spacing w:line="114" w:lineRule="exact"/>
        <w:ind w:left="248" w:hanging="172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z w:val="12"/>
          <w:szCs w:val="12"/>
        </w:rPr>
        <w:t>Facturation</w:t>
      </w:r>
      <w:r w:rsidRPr="0063540E">
        <w:rPr>
          <w:rFonts w:ascii="Arial" w:hAnsi="Arial" w:cs="Arial"/>
          <w:spacing w:val="-8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-</w:t>
      </w:r>
      <w:r w:rsidRPr="0063540E">
        <w:rPr>
          <w:rFonts w:ascii="Arial" w:hAnsi="Arial" w:cs="Arial"/>
          <w:spacing w:val="-7"/>
          <w:sz w:val="12"/>
          <w:szCs w:val="12"/>
        </w:rPr>
        <w:t xml:space="preserve"> </w:t>
      </w:r>
      <w:r w:rsidRPr="0063540E">
        <w:rPr>
          <w:rFonts w:ascii="Arial" w:hAnsi="Arial" w:cs="Arial"/>
          <w:spacing w:val="-2"/>
          <w:sz w:val="12"/>
          <w:szCs w:val="12"/>
        </w:rPr>
        <w:t>Règlement</w:t>
      </w:r>
    </w:p>
    <w:p w14:paraId="326604A2" w14:textId="77777777" w:rsidR="009B4371" w:rsidRPr="0063540E" w:rsidRDefault="00782CB1">
      <w:pPr>
        <w:pStyle w:val="Paragraphedeliste"/>
        <w:numPr>
          <w:ilvl w:val="2"/>
          <w:numId w:val="1"/>
        </w:numPr>
        <w:tabs>
          <w:tab w:val="left" w:pos="279"/>
        </w:tabs>
        <w:spacing w:before="4"/>
        <w:ind w:left="279" w:hanging="203"/>
        <w:rPr>
          <w:sz w:val="12"/>
          <w:szCs w:val="12"/>
        </w:rPr>
      </w:pPr>
      <w:r w:rsidRPr="0063540E">
        <w:rPr>
          <w:spacing w:val="-4"/>
          <w:w w:val="90"/>
          <w:sz w:val="12"/>
          <w:szCs w:val="12"/>
        </w:rPr>
        <w:t>Prix</w:t>
      </w:r>
    </w:p>
    <w:p w14:paraId="0ECC900C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Tous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prix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exprimés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euros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hors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taxes.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Ils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seront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majorés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TVA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taux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vigueur. Les éventuels taxes, droits de douane ou d’importation ainsi que les frais bancaires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occasionnés par le mode de paiement utilisé seront à la charge du Client.</w:t>
      </w:r>
    </w:p>
    <w:p w14:paraId="09A0C142" w14:textId="77777777" w:rsidR="00857C0B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frais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déplacement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des)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consultant(s)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des)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formateur(s)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ainsi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</w:t>
      </w:r>
      <w:r w:rsidRPr="0063540E">
        <w:rPr>
          <w:spacing w:val="-2"/>
          <w:w w:val="80"/>
        </w:rPr>
        <w:t xml:space="preserve"> </w:t>
      </w:r>
    </w:p>
    <w:p w14:paraId="58BEE3FD" w14:textId="7722A7C9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frais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location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salle,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documentation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location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matériel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courant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(vidéo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projecteur,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métaplan,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Matériel de simulation marketing,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…) sont facturés en sus.</w:t>
      </w:r>
    </w:p>
    <w:p w14:paraId="51A96DCF" w14:textId="77777777" w:rsidR="00433D1F" w:rsidRPr="0063540E" w:rsidRDefault="00433D1F">
      <w:pPr>
        <w:pStyle w:val="Corpsdetexte"/>
        <w:spacing w:line="256" w:lineRule="auto"/>
        <w:ind w:right="163"/>
        <w:jc w:val="both"/>
        <w:rPr>
          <w:spacing w:val="-2"/>
          <w:w w:val="85"/>
          <w:sz w:val="12"/>
          <w:szCs w:val="12"/>
        </w:rPr>
      </w:pPr>
    </w:p>
    <w:p w14:paraId="01BDFE7D" w14:textId="77777777" w:rsidR="009B4371" w:rsidRPr="0063540E" w:rsidRDefault="00782CB1">
      <w:pPr>
        <w:pStyle w:val="Paragraphedeliste"/>
        <w:numPr>
          <w:ilvl w:val="2"/>
          <w:numId w:val="1"/>
        </w:numPr>
        <w:tabs>
          <w:tab w:val="left" w:pos="280"/>
        </w:tabs>
        <w:ind w:hanging="203"/>
        <w:rPr>
          <w:sz w:val="12"/>
          <w:szCs w:val="12"/>
        </w:rPr>
      </w:pPr>
      <w:r w:rsidRPr="0063540E">
        <w:rPr>
          <w:spacing w:val="-2"/>
          <w:w w:val="90"/>
          <w:sz w:val="12"/>
          <w:szCs w:val="12"/>
        </w:rPr>
        <w:t>Paiement</w:t>
      </w:r>
    </w:p>
    <w:p w14:paraId="70D8C152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Sauf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convention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contraire,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règlements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seront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effectués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conditions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suivantes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:</w:t>
      </w:r>
    </w:p>
    <w:p w14:paraId="467D64AC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paiement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comptant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doit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être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effectué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plus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tard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délai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30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(trente)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jours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compter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date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facture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;</w:t>
      </w:r>
    </w:p>
    <w:p w14:paraId="538BEB08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 règlement est accepté par règlement domicilié automatique (prélèvement), chèque,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virement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bancaire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postal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;</w:t>
      </w:r>
    </w:p>
    <w:p w14:paraId="39C475DC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aucun escompte ne sera appliqué en cas de règlement avant l’échéance, sauf mention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différente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indiquée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facture.</w:t>
      </w:r>
    </w:p>
    <w:p w14:paraId="40EA5E9A" w14:textId="33C9EC4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En cas de retard de paiement,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945993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pourra suspendre toutes les commandes en cours</w:t>
      </w:r>
      <w:r w:rsidRPr="0063540E">
        <w:rPr>
          <w:spacing w:val="-2"/>
          <w:w w:val="80"/>
        </w:rPr>
        <w:t>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préjudice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voie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d’action.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somme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payée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échéance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entraîne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plein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droit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mise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demeure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préalable,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l’application de pénalités d’un montant égal à trois fois le taux d’intérêt légal.</w:t>
      </w:r>
    </w:p>
    <w:p w14:paraId="7A3C0013" w14:textId="42E58F03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C</w:t>
      </w:r>
      <w:r w:rsidR="00945993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aura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faculté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suspendre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service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jusqu’à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complet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paiement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obtenir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règlement par voie contentieuse aux frais du Client sans préjudice des autres dommages 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intérêts qui pourraient être dus à C</w:t>
      </w:r>
      <w:r w:rsidR="00B706DA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.</w:t>
      </w:r>
    </w:p>
    <w:p w14:paraId="6ADBD9B4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Conformément à l’article L 441-6 du Code de commerce,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 paiement postérieur à 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date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d’exigibilité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donnera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lieu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paiement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d’une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indemnité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forfaitaire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40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€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frais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recouvrement.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indemnité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complémentaire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pourra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être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réclamée,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justificatif,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si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frais de recouvrement exposés sont supérieurs au montant de l’indemnité forfaitaire.</w:t>
      </w:r>
    </w:p>
    <w:p w14:paraId="03220E9C" w14:textId="77777777" w:rsidR="00433D1F" w:rsidRPr="0063540E" w:rsidRDefault="00433D1F">
      <w:pPr>
        <w:pStyle w:val="Corpsdetexte"/>
        <w:spacing w:line="273" w:lineRule="auto"/>
        <w:ind w:left="77" w:right="145"/>
        <w:rPr>
          <w:sz w:val="12"/>
          <w:szCs w:val="12"/>
        </w:rPr>
      </w:pPr>
    </w:p>
    <w:p w14:paraId="0F3BB186" w14:textId="77777777" w:rsidR="009B4371" w:rsidRPr="0063540E" w:rsidRDefault="00782CB1">
      <w:pPr>
        <w:pStyle w:val="Paragraphedeliste"/>
        <w:numPr>
          <w:ilvl w:val="2"/>
          <w:numId w:val="1"/>
        </w:numPr>
        <w:tabs>
          <w:tab w:val="left" w:pos="280"/>
        </w:tabs>
        <w:spacing w:line="114" w:lineRule="exact"/>
        <w:ind w:hanging="203"/>
        <w:rPr>
          <w:sz w:val="12"/>
          <w:szCs w:val="12"/>
        </w:rPr>
      </w:pPr>
      <w:r w:rsidRPr="0063540E">
        <w:rPr>
          <w:spacing w:val="-2"/>
          <w:w w:val="80"/>
          <w:sz w:val="12"/>
          <w:szCs w:val="12"/>
        </w:rPr>
        <w:t>Révision</w:t>
      </w:r>
      <w:r w:rsidRPr="0063540E">
        <w:rPr>
          <w:spacing w:val="-6"/>
          <w:sz w:val="12"/>
          <w:szCs w:val="12"/>
        </w:rPr>
        <w:t xml:space="preserve"> </w:t>
      </w:r>
      <w:r w:rsidRPr="0063540E">
        <w:rPr>
          <w:spacing w:val="-2"/>
          <w:w w:val="80"/>
          <w:sz w:val="12"/>
          <w:szCs w:val="12"/>
        </w:rPr>
        <w:t>de</w:t>
      </w:r>
      <w:r w:rsidRPr="0063540E">
        <w:rPr>
          <w:spacing w:val="-5"/>
          <w:sz w:val="12"/>
          <w:szCs w:val="12"/>
        </w:rPr>
        <w:t xml:space="preserve"> </w:t>
      </w:r>
      <w:r w:rsidRPr="0063540E">
        <w:rPr>
          <w:spacing w:val="-4"/>
          <w:w w:val="80"/>
          <w:sz w:val="12"/>
          <w:szCs w:val="12"/>
        </w:rPr>
        <w:t>prix</w:t>
      </w:r>
    </w:p>
    <w:p w14:paraId="00162126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échéant,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proposition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financière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PRESTATAIRE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acceptée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sera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révisée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chaque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date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anniversaire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contrat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application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automatique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formule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révision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prix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suivante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:</w:t>
      </w:r>
    </w:p>
    <w:p w14:paraId="6C025C82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P1=PO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(S1)</w:t>
      </w:r>
    </w:p>
    <w:p w14:paraId="31A3DFCA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SO</w:t>
      </w:r>
    </w:p>
    <w:p w14:paraId="5BA06C96" w14:textId="77777777" w:rsidR="00EB4694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Où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P1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=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prix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révisé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</w:p>
    <w:p w14:paraId="2C1D4746" w14:textId="77777777" w:rsidR="00EB4694" w:rsidRPr="0063540E" w:rsidRDefault="00EB4694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</w:p>
    <w:p w14:paraId="76CD1388" w14:textId="34729DD2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EUR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HT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P0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=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prix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initial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HT</w:t>
      </w:r>
    </w:p>
    <w:p w14:paraId="34734FBA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S1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=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indice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Syntec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date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renouvellement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contrat</w:t>
      </w:r>
    </w:p>
    <w:p w14:paraId="46C66E35" w14:textId="77777777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SO = indice Syntec à la date de signature du contrat où à la date anniversaire du contrat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périodes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postérieures.</w:t>
      </w:r>
    </w:p>
    <w:p w14:paraId="607D6B5A" w14:textId="77777777" w:rsidR="00433D1F" w:rsidRPr="0063540E" w:rsidRDefault="00433D1F">
      <w:pPr>
        <w:pStyle w:val="Corpsdetexte"/>
        <w:spacing w:before="16" w:line="273" w:lineRule="auto"/>
        <w:ind w:left="77" w:right="269"/>
        <w:rPr>
          <w:sz w:val="12"/>
          <w:szCs w:val="12"/>
        </w:rPr>
      </w:pPr>
    </w:p>
    <w:p w14:paraId="457EC6B6" w14:textId="1755646F" w:rsidR="009B4371" w:rsidRPr="0063540E" w:rsidRDefault="00782CB1">
      <w:pPr>
        <w:pStyle w:val="Titre2"/>
        <w:numPr>
          <w:ilvl w:val="1"/>
          <w:numId w:val="1"/>
        </w:numPr>
        <w:tabs>
          <w:tab w:val="left" w:pos="247"/>
        </w:tabs>
        <w:ind w:left="247" w:hanging="170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z w:val="12"/>
          <w:szCs w:val="12"/>
        </w:rPr>
        <w:t>Limitations</w:t>
      </w:r>
      <w:r w:rsidRPr="0063540E">
        <w:rPr>
          <w:rFonts w:ascii="Arial" w:hAnsi="Arial" w:cs="Arial"/>
          <w:spacing w:val="-2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de</w:t>
      </w:r>
      <w:r w:rsidRPr="0063540E">
        <w:rPr>
          <w:rFonts w:ascii="Arial" w:hAnsi="Arial" w:cs="Arial"/>
          <w:spacing w:val="-1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responsabilité</w:t>
      </w:r>
      <w:r w:rsidRPr="0063540E">
        <w:rPr>
          <w:rFonts w:ascii="Arial" w:hAnsi="Arial" w:cs="Arial"/>
          <w:spacing w:val="-1"/>
          <w:sz w:val="12"/>
          <w:szCs w:val="12"/>
        </w:rPr>
        <w:t xml:space="preserve"> </w:t>
      </w:r>
      <w:r w:rsidRPr="0063540E">
        <w:rPr>
          <w:rFonts w:ascii="Arial" w:hAnsi="Arial" w:cs="Arial"/>
          <w:sz w:val="12"/>
          <w:szCs w:val="12"/>
        </w:rPr>
        <w:t>de</w:t>
      </w:r>
      <w:r w:rsidRPr="0063540E">
        <w:rPr>
          <w:rFonts w:ascii="Arial" w:hAnsi="Arial" w:cs="Arial"/>
          <w:spacing w:val="-1"/>
          <w:sz w:val="12"/>
          <w:szCs w:val="12"/>
        </w:rPr>
        <w:t xml:space="preserve"> </w:t>
      </w:r>
      <w:r w:rsidRPr="0063540E">
        <w:rPr>
          <w:rFonts w:ascii="Arial" w:hAnsi="Arial" w:cs="Arial"/>
          <w:spacing w:val="-4"/>
          <w:sz w:val="12"/>
          <w:szCs w:val="12"/>
        </w:rPr>
        <w:t>C</w:t>
      </w:r>
      <w:r w:rsidR="00331210" w:rsidRPr="0063540E">
        <w:rPr>
          <w:rFonts w:ascii="Arial" w:hAnsi="Arial" w:cs="Arial"/>
          <w:spacing w:val="-4"/>
          <w:sz w:val="12"/>
          <w:szCs w:val="12"/>
        </w:rPr>
        <w:t>onvergence</w:t>
      </w:r>
    </w:p>
    <w:p w14:paraId="2B9A1DB1" w14:textId="0D70671D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responsabilité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331210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peut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aucun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être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engagée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défaillance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technique du matériel</w:t>
      </w:r>
      <w:r w:rsidRPr="0063540E">
        <w:rPr>
          <w:spacing w:val="-2"/>
          <w:w w:val="80"/>
        </w:rPr>
        <w:t>.</w:t>
      </w:r>
    </w:p>
    <w:p w14:paraId="5271E684" w14:textId="50828553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Quel que soit le type de prestations, la responsabilité de C</w:t>
      </w:r>
      <w:r w:rsidR="00331210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est expressément limitée 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l’indemnisation des dommages directs prouvés par le Client. La responsabilité de C</w:t>
      </w:r>
      <w:r w:rsidR="00AA12D6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est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plafonnée au montant du prix payé par le Client au titre de la prestation concernée.</w:t>
      </w:r>
    </w:p>
    <w:p w14:paraId="76A54046" w14:textId="2C28FD0F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aucun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responsabilité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AA12D6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saurait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être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engagée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titre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dommages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indirects tels que perte de données, de fichier(s), perte d’exploitation, préjudice commercial,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manque à gagner,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atteinte à l’image et à la réputation.</w:t>
      </w:r>
    </w:p>
    <w:p w14:paraId="110A7F9A" w14:textId="77777777" w:rsidR="00433D1F" w:rsidRPr="0063540E" w:rsidRDefault="00433D1F">
      <w:pPr>
        <w:pStyle w:val="Corpsdetexte"/>
        <w:spacing w:line="273" w:lineRule="auto"/>
        <w:ind w:left="77" w:right="132"/>
        <w:rPr>
          <w:sz w:val="12"/>
          <w:szCs w:val="12"/>
        </w:rPr>
      </w:pPr>
    </w:p>
    <w:p w14:paraId="3C9FB3F7" w14:textId="77777777" w:rsidR="009B4371" w:rsidRPr="0063540E" w:rsidRDefault="00782CB1">
      <w:pPr>
        <w:pStyle w:val="Titre2"/>
        <w:numPr>
          <w:ilvl w:val="1"/>
          <w:numId w:val="1"/>
        </w:numPr>
        <w:tabs>
          <w:tab w:val="left" w:pos="248"/>
        </w:tabs>
        <w:spacing w:line="116" w:lineRule="exact"/>
        <w:ind w:left="248" w:hanging="171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pacing w:val="-2"/>
          <w:sz w:val="12"/>
          <w:szCs w:val="12"/>
        </w:rPr>
        <w:t>Force</w:t>
      </w:r>
      <w:r w:rsidRPr="0063540E">
        <w:rPr>
          <w:rFonts w:ascii="Arial" w:hAnsi="Arial" w:cs="Arial"/>
          <w:spacing w:val="-3"/>
          <w:sz w:val="12"/>
          <w:szCs w:val="12"/>
        </w:rPr>
        <w:t xml:space="preserve"> </w:t>
      </w:r>
      <w:r w:rsidRPr="0063540E">
        <w:rPr>
          <w:rFonts w:ascii="Arial" w:hAnsi="Arial" w:cs="Arial"/>
          <w:spacing w:val="-2"/>
          <w:sz w:val="12"/>
          <w:szCs w:val="12"/>
        </w:rPr>
        <w:t>majeure</w:t>
      </w:r>
    </w:p>
    <w:p w14:paraId="55C7F25B" w14:textId="697FC6BC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C</w:t>
      </w:r>
      <w:r w:rsidR="00AA12D6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ne pourra être tenue responsable à l’égard du Client en cas d’inexécution de ses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obligations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résultant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évènement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majeure.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considérés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cas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force majeure ou cas fortuit,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outre ceux habituellement reconnus par la jurisprudence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 Cours 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Tribunaux français et sans que cette liste soit restrictive :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 maladie 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l’accident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consultant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d’un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animateur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grèves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conflits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sociaux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internes ou externes à C</w:t>
      </w:r>
      <w:r w:rsidR="002F29D4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, les désastres naturels, les incendies, la non obtention 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visas,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autorisations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travail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d’autres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permis,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lois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règlements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mis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place</w:t>
      </w:r>
    </w:p>
    <w:p w14:paraId="72A96EEA" w14:textId="4BE960C0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ultérieurement,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l’interruption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télécommunications,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l’interruption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l’approvisionnement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énergie,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interruption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communications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transports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type,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toute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circonstance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échappant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contrôle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raisonnable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A31DE1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.</w:t>
      </w:r>
    </w:p>
    <w:p w14:paraId="294ADB89" w14:textId="77777777" w:rsidR="00433D1F" w:rsidRPr="0063540E" w:rsidRDefault="00433D1F">
      <w:pPr>
        <w:pStyle w:val="Corpsdetexte"/>
        <w:spacing w:line="273" w:lineRule="auto"/>
        <w:ind w:left="77" w:right="162"/>
        <w:rPr>
          <w:sz w:val="12"/>
          <w:szCs w:val="12"/>
        </w:rPr>
      </w:pPr>
    </w:p>
    <w:p w14:paraId="6910E963" w14:textId="77777777" w:rsidR="009B4371" w:rsidRPr="0063540E" w:rsidRDefault="00782CB1">
      <w:pPr>
        <w:pStyle w:val="Titre2"/>
        <w:numPr>
          <w:ilvl w:val="1"/>
          <w:numId w:val="1"/>
        </w:numPr>
        <w:tabs>
          <w:tab w:val="left" w:pos="247"/>
        </w:tabs>
        <w:ind w:left="247" w:hanging="170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pacing w:val="-2"/>
          <w:sz w:val="12"/>
          <w:szCs w:val="12"/>
        </w:rPr>
        <w:t>Propriété</w:t>
      </w:r>
      <w:r w:rsidRPr="0063540E">
        <w:rPr>
          <w:rFonts w:ascii="Arial" w:hAnsi="Arial" w:cs="Arial"/>
          <w:spacing w:val="2"/>
          <w:sz w:val="12"/>
          <w:szCs w:val="12"/>
        </w:rPr>
        <w:t xml:space="preserve"> </w:t>
      </w:r>
      <w:r w:rsidRPr="0063540E">
        <w:rPr>
          <w:rFonts w:ascii="Arial" w:hAnsi="Arial" w:cs="Arial"/>
          <w:spacing w:val="-2"/>
          <w:sz w:val="12"/>
          <w:szCs w:val="12"/>
        </w:rPr>
        <w:t>intellectuelle</w:t>
      </w:r>
    </w:p>
    <w:p w14:paraId="645A53A8" w14:textId="778FE360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C</w:t>
      </w:r>
      <w:r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est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seule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titulaire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droits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propriété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intellectuelle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l’ensemble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qu’elle propose à ses Clients.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 cet effet, l’ensemble des contenus et supports pédagogiques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quelle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qu’en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(papier,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électronique,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numérique,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orale,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…)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utilisés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565F9B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pour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assurer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demeurent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propriété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exclusive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565F9B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titre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ils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peuvent faire l’objet d’aucune utilisation, transformation, reproduction, exploitation non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expressément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autorisée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sein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l’extérieur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accord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exprès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565F9B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.</w:t>
      </w:r>
      <w:r w:rsidR="004A45FC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particulier,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s’interdit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d’utiliser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contenu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formations</w:t>
      </w:r>
      <w:r w:rsidRPr="004A45FC">
        <w:rPr>
          <w:spacing w:val="-2"/>
          <w:w w:val="80"/>
        </w:rPr>
        <w:t xml:space="preserve"> </w:t>
      </w:r>
      <w:r w:rsidRPr="004A45FC">
        <w:rPr>
          <w:spacing w:val="-2"/>
          <w:w w:val="80"/>
        </w:rPr>
        <w:t>pour</w:t>
      </w:r>
      <w:r w:rsidRPr="004A45FC">
        <w:rPr>
          <w:spacing w:val="-2"/>
          <w:w w:val="80"/>
        </w:rPr>
        <w:t xml:space="preserve"> </w:t>
      </w:r>
      <w:r w:rsidRPr="004A45FC">
        <w:rPr>
          <w:spacing w:val="-2"/>
          <w:w w:val="80"/>
        </w:rPr>
        <w:t>former</w:t>
      </w:r>
      <w:r w:rsidRPr="004A45FC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d’autres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personnes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propre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personnel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engage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sa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responsabilité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fondement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articles L.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122-4 et L.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335-2 et suivants du code de la propriété intellectuelle en cas 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cession ou de communication des contenus non autorisée.</w:t>
      </w:r>
    </w:p>
    <w:p w14:paraId="798FE1B1" w14:textId="6F80241D" w:rsidR="009B4371" w:rsidRPr="003449CA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Toute reproduction, représentation, modification, publication, transmission, dénaturation,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 xml:space="preserve">totale ou partielle des contenus de formations </w:t>
      </w:r>
      <w:r w:rsidRPr="0063540E">
        <w:rPr>
          <w:spacing w:val="-2"/>
          <w:w w:val="80"/>
        </w:rPr>
        <w:t>sont strictement interdites, et ce quels que soient le procédé</w:t>
      </w:r>
      <w:r w:rsidRPr="0063540E">
        <w:rPr>
          <w:spacing w:val="80"/>
          <w:sz w:val="12"/>
          <w:szCs w:val="12"/>
        </w:rPr>
        <w:t xml:space="preserve"> </w:t>
      </w:r>
      <w:r w:rsidRPr="0063540E">
        <w:rPr>
          <w:spacing w:val="-2"/>
          <w:w w:val="80"/>
        </w:rPr>
        <w:t>et le support utilisés.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En tout état de cause,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8A1D6E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demeure propriétaire de ses outils,</w:t>
      </w:r>
      <w:r w:rsidRPr="0063540E">
        <w:rPr>
          <w:spacing w:val="-3"/>
          <w:w w:val="80"/>
          <w:sz w:val="12"/>
          <w:szCs w:val="12"/>
        </w:rPr>
        <w:t xml:space="preserve"> </w:t>
      </w:r>
      <w:r w:rsidRPr="0063540E">
        <w:rPr>
          <w:spacing w:val="-2"/>
          <w:w w:val="80"/>
        </w:rPr>
        <w:t>méthodes et savoir-</w:t>
      </w:r>
      <w:r w:rsidRPr="0063540E">
        <w:rPr>
          <w:spacing w:val="-2"/>
          <w:w w:val="80"/>
        </w:rPr>
        <w:t>faire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développés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antérieurement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à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l’occasion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l’exécution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prestations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chez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3449CA">
        <w:rPr>
          <w:spacing w:val="-2"/>
          <w:w w:val="80"/>
        </w:rPr>
        <w:t xml:space="preserve"> </w:t>
      </w:r>
      <w:r w:rsidRPr="003449CA">
        <w:rPr>
          <w:spacing w:val="-2"/>
          <w:w w:val="80"/>
        </w:rPr>
        <w:t>Client.</w:t>
      </w:r>
    </w:p>
    <w:p w14:paraId="7E590B44" w14:textId="77777777" w:rsidR="00433D1F" w:rsidRPr="0063540E" w:rsidRDefault="00433D1F">
      <w:pPr>
        <w:pStyle w:val="Corpsdetexte"/>
        <w:spacing w:line="273" w:lineRule="auto"/>
        <w:ind w:left="77"/>
        <w:rPr>
          <w:sz w:val="12"/>
          <w:szCs w:val="12"/>
        </w:rPr>
      </w:pPr>
    </w:p>
    <w:p w14:paraId="4A42154F" w14:textId="77777777" w:rsidR="00A214DE" w:rsidRPr="00A214DE" w:rsidRDefault="00A214DE" w:rsidP="00A214DE">
      <w:pPr>
        <w:pStyle w:val="Titre2"/>
        <w:tabs>
          <w:tab w:val="left" w:pos="252"/>
        </w:tabs>
        <w:ind w:left="252" w:firstLine="0"/>
        <w:rPr>
          <w:rFonts w:ascii="Arial" w:hAnsi="Arial" w:cs="Arial"/>
          <w:b w:val="0"/>
          <w:bCs w:val="0"/>
          <w:sz w:val="20"/>
          <w:szCs w:val="20"/>
        </w:rPr>
      </w:pPr>
    </w:p>
    <w:p w14:paraId="1FD22B61" w14:textId="33B88E91" w:rsidR="009B4371" w:rsidRPr="0063540E" w:rsidRDefault="00782CB1">
      <w:pPr>
        <w:pStyle w:val="Titre2"/>
        <w:numPr>
          <w:ilvl w:val="1"/>
          <w:numId w:val="1"/>
        </w:numPr>
        <w:tabs>
          <w:tab w:val="left" w:pos="252"/>
        </w:tabs>
        <w:ind w:left="252"/>
        <w:rPr>
          <w:rFonts w:ascii="Arial" w:hAnsi="Arial" w:cs="Arial"/>
          <w:sz w:val="12"/>
          <w:szCs w:val="12"/>
        </w:rPr>
      </w:pPr>
      <w:r w:rsidRPr="0063540E">
        <w:rPr>
          <w:rFonts w:ascii="Arial" w:hAnsi="Arial" w:cs="Arial"/>
          <w:spacing w:val="-2"/>
          <w:sz w:val="12"/>
          <w:szCs w:val="12"/>
        </w:rPr>
        <w:t>Confidentialité</w:t>
      </w:r>
    </w:p>
    <w:p w14:paraId="5CD6E740" w14:textId="68FA680E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Les parties s’engagent à garder confidentiels les informations et documents concernant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l’autre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partie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quelle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nature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qu’ils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soient,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économiques,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techniques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commerciaux,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auxquels elles pourraient avoir accès au cours de l’exécution du contrat ou à l’occasion des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échanges intervenus antérieurement à la conclusion du contrat,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notamment l’ensemble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des informations figurant dans la proposition commerciale et financière transmise 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</w:t>
      </w:r>
      <w:r w:rsidR="00A806FD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au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Client.</w:t>
      </w:r>
    </w:p>
    <w:p w14:paraId="3B72793D" w14:textId="07EFC1F0" w:rsidR="009B4371" w:rsidRPr="0063540E" w:rsidRDefault="00782CB1" w:rsidP="003449CA">
      <w:pPr>
        <w:pStyle w:val="Corpsdetexte"/>
        <w:spacing w:before="14" w:line="273" w:lineRule="auto"/>
        <w:ind w:left="77" w:right="186"/>
        <w:jc w:val="both"/>
        <w:rPr>
          <w:spacing w:val="-2"/>
          <w:w w:val="80"/>
        </w:rPr>
      </w:pPr>
      <w:r w:rsidRPr="0063540E">
        <w:rPr>
          <w:spacing w:val="-2"/>
          <w:w w:val="80"/>
        </w:rPr>
        <w:t>C</w:t>
      </w:r>
      <w:r w:rsidR="00A806FD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s’engage à ne pas communiquer à des tiers autres que ses sociétés affiliées,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partenaires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fournisseurs,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informations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transmises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Client,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y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compris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informations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concernant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Utilisateurs.</w:t>
      </w:r>
    </w:p>
    <w:p w14:paraId="065230A9" w14:textId="77777777" w:rsidR="00433D1F" w:rsidRPr="0063540E" w:rsidRDefault="00433D1F">
      <w:pPr>
        <w:pStyle w:val="Corpsdetexte"/>
        <w:spacing w:line="273" w:lineRule="auto"/>
        <w:ind w:left="77" w:right="145"/>
        <w:rPr>
          <w:spacing w:val="-2"/>
          <w:w w:val="85"/>
          <w:sz w:val="12"/>
          <w:szCs w:val="12"/>
        </w:rPr>
      </w:pPr>
    </w:p>
    <w:p w14:paraId="31A1DDB9" w14:textId="77777777" w:rsidR="009B4371" w:rsidRPr="0063540E" w:rsidRDefault="00782CB1">
      <w:pPr>
        <w:pStyle w:val="Titre2"/>
        <w:numPr>
          <w:ilvl w:val="1"/>
          <w:numId w:val="1"/>
        </w:numPr>
        <w:tabs>
          <w:tab w:val="left" w:pos="236"/>
        </w:tabs>
        <w:spacing w:line="116" w:lineRule="exact"/>
        <w:ind w:left="236" w:hanging="159"/>
        <w:rPr>
          <w:rFonts w:ascii="Arial" w:hAnsi="Arial" w:cs="Arial"/>
        </w:rPr>
      </w:pPr>
      <w:r w:rsidRPr="0063540E">
        <w:rPr>
          <w:rFonts w:ascii="Arial" w:hAnsi="Arial" w:cs="Arial"/>
          <w:spacing w:val="-2"/>
          <w:w w:val="105"/>
        </w:rPr>
        <w:t>Communication</w:t>
      </w:r>
    </w:p>
    <w:p w14:paraId="29C3BD67" w14:textId="451250C7" w:rsidR="009B4371" w:rsidRPr="0063540E" w:rsidRDefault="00782CB1">
      <w:pPr>
        <w:pStyle w:val="Corpsdetexte"/>
        <w:spacing w:before="14" w:line="273" w:lineRule="auto"/>
        <w:ind w:left="77" w:right="233"/>
      </w:pPr>
      <w:r w:rsidRPr="0063540E">
        <w:rPr>
          <w:spacing w:val="-2"/>
          <w:w w:val="85"/>
        </w:rPr>
        <w:t>Le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Client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accepte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d’être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cité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par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C</w:t>
      </w:r>
      <w:r w:rsidR="00C60C76" w:rsidRPr="0063540E">
        <w:rPr>
          <w:spacing w:val="-2"/>
          <w:w w:val="85"/>
        </w:rPr>
        <w:t>onvergence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comme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client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de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ses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offres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de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services,</w:t>
      </w:r>
      <w:r w:rsidRPr="0063540E">
        <w:rPr>
          <w:spacing w:val="-8"/>
          <w:w w:val="85"/>
        </w:rPr>
        <w:t xml:space="preserve"> </w:t>
      </w:r>
      <w:r w:rsidRPr="0063540E">
        <w:rPr>
          <w:spacing w:val="-2"/>
          <w:w w:val="85"/>
        </w:rPr>
        <w:t>aux</w:t>
      </w:r>
      <w:r w:rsidRPr="0063540E">
        <w:rPr>
          <w:spacing w:val="40"/>
        </w:rPr>
        <w:t xml:space="preserve"> </w:t>
      </w:r>
      <w:r w:rsidRPr="0063540E">
        <w:rPr>
          <w:w w:val="80"/>
        </w:rPr>
        <w:t>frais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C</w:t>
      </w:r>
      <w:r w:rsidR="00C60C76" w:rsidRPr="0063540E">
        <w:rPr>
          <w:w w:val="80"/>
        </w:rPr>
        <w:t>onvergence</w:t>
      </w:r>
      <w:r w:rsidRPr="0063540E">
        <w:rPr>
          <w:w w:val="80"/>
        </w:rPr>
        <w:t>.</w:t>
      </w:r>
      <w:r w:rsidRPr="0063540E">
        <w:rPr>
          <w:spacing w:val="-7"/>
          <w:w w:val="80"/>
        </w:rPr>
        <w:t xml:space="preserve"> </w:t>
      </w:r>
      <w:r w:rsidRPr="0063540E">
        <w:rPr>
          <w:w w:val="80"/>
        </w:rPr>
        <w:t>Sous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réserve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du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respect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des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dispositions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de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l’article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7.5,</w:t>
      </w:r>
      <w:r w:rsidRPr="0063540E">
        <w:rPr>
          <w:spacing w:val="-7"/>
          <w:w w:val="80"/>
        </w:rPr>
        <w:t xml:space="preserve"> </w:t>
      </w:r>
      <w:r w:rsidRPr="0063540E">
        <w:rPr>
          <w:w w:val="80"/>
        </w:rPr>
        <w:t>C</w:t>
      </w:r>
      <w:r w:rsidR="00612EBA" w:rsidRPr="0063540E">
        <w:rPr>
          <w:w w:val="80"/>
        </w:rPr>
        <w:t>onvergence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peut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0"/>
        </w:rPr>
        <w:t>mentionner le nom du Client, son logo ainsi qu’une description objective de la nature des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5"/>
        </w:rPr>
        <w:t>prestations,</w:t>
      </w:r>
      <w:r w:rsidRPr="0063540E">
        <w:rPr>
          <w:spacing w:val="-6"/>
          <w:w w:val="85"/>
        </w:rPr>
        <w:t xml:space="preserve"> </w:t>
      </w:r>
      <w:r w:rsidRPr="0063540E">
        <w:rPr>
          <w:spacing w:val="-2"/>
          <w:w w:val="85"/>
        </w:rPr>
        <w:t>objet du contrat,</w:t>
      </w:r>
      <w:r w:rsidRPr="0063540E">
        <w:rPr>
          <w:spacing w:val="-6"/>
          <w:w w:val="85"/>
        </w:rPr>
        <w:t xml:space="preserve"> </w:t>
      </w:r>
      <w:r w:rsidRPr="0063540E">
        <w:rPr>
          <w:spacing w:val="-2"/>
          <w:w w:val="85"/>
        </w:rPr>
        <w:t>dans ses listes de références et propositions à l’attention</w:t>
      </w:r>
      <w:r w:rsidRPr="0063540E">
        <w:rPr>
          <w:spacing w:val="40"/>
        </w:rPr>
        <w:t xml:space="preserve"> </w:t>
      </w:r>
      <w:r w:rsidRPr="0063540E">
        <w:rPr>
          <w:w w:val="80"/>
        </w:rPr>
        <w:t>de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ses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prospects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et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de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sa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clientèle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notamment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sur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son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site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internet,</w:t>
      </w:r>
      <w:r w:rsidRPr="0063540E">
        <w:rPr>
          <w:spacing w:val="-7"/>
          <w:w w:val="80"/>
        </w:rPr>
        <w:t xml:space="preserve"> </w:t>
      </w:r>
      <w:r w:rsidRPr="0063540E">
        <w:rPr>
          <w:w w:val="80"/>
        </w:rPr>
        <w:t>entretiens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avec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des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5"/>
        </w:rPr>
        <w:t>tiers,</w:t>
      </w:r>
      <w:r w:rsidRPr="0063540E">
        <w:rPr>
          <w:spacing w:val="-5"/>
          <w:w w:val="85"/>
        </w:rPr>
        <w:t xml:space="preserve"> </w:t>
      </w:r>
      <w:r w:rsidRPr="0063540E">
        <w:rPr>
          <w:spacing w:val="-2"/>
          <w:w w:val="85"/>
        </w:rPr>
        <w:t>communications à son personnel,</w:t>
      </w:r>
      <w:r w:rsidRPr="0063540E">
        <w:rPr>
          <w:spacing w:val="-5"/>
          <w:w w:val="85"/>
        </w:rPr>
        <w:t xml:space="preserve"> </w:t>
      </w:r>
      <w:r w:rsidRPr="0063540E">
        <w:rPr>
          <w:spacing w:val="-2"/>
          <w:w w:val="85"/>
        </w:rPr>
        <w:t>documents internes de gestion prévisionnelle,</w:t>
      </w:r>
    </w:p>
    <w:p w14:paraId="5545DEED" w14:textId="77777777" w:rsidR="009B4371" w:rsidRPr="0063540E" w:rsidRDefault="00782CB1">
      <w:pPr>
        <w:pStyle w:val="Corpsdetexte"/>
        <w:spacing w:line="273" w:lineRule="auto"/>
        <w:ind w:left="77"/>
        <w:rPr>
          <w:spacing w:val="-2"/>
          <w:w w:val="80"/>
        </w:rPr>
      </w:pPr>
      <w:r w:rsidRPr="0063540E">
        <w:rPr>
          <w:spacing w:val="-2"/>
          <w:w w:val="80"/>
        </w:rPr>
        <w:t>rapport annuel aux actionnaires, ainsi qu’en cas de dispositions légales, réglementaires ou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comptables</w:t>
      </w:r>
      <w:r w:rsidRPr="0063540E">
        <w:rPr>
          <w:spacing w:val="-2"/>
          <w:w w:val="80"/>
        </w:rPr>
        <w:t xml:space="preserve"> </w:t>
      </w:r>
      <w:r w:rsidRPr="0063540E">
        <w:rPr>
          <w:spacing w:val="-2"/>
          <w:w w:val="80"/>
        </w:rPr>
        <w:t>l’exigeant.</w:t>
      </w:r>
    </w:p>
    <w:p w14:paraId="67715E4D" w14:textId="77777777" w:rsidR="00433D1F" w:rsidRPr="0063540E" w:rsidRDefault="00433D1F">
      <w:pPr>
        <w:pStyle w:val="Corpsdetexte"/>
        <w:spacing w:line="273" w:lineRule="auto"/>
        <w:ind w:left="77"/>
      </w:pPr>
    </w:p>
    <w:p w14:paraId="74860103" w14:textId="77777777" w:rsidR="009B4371" w:rsidRPr="0063540E" w:rsidRDefault="00782CB1">
      <w:pPr>
        <w:pStyle w:val="Titre2"/>
        <w:numPr>
          <w:ilvl w:val="1"/>
          <w:numId w:val="1"/>
        </w:numPr>
        <w:tabs>
          <w:tab w:val="left" w:pos="252"/>
        </w:tabs>
        <w:ind w:left="252"/>
        <w:rPr>
          <w:rFonts w:ascii="Arial" w:hAnsi="Arial" w:cs="Arial"/>
        </w:rPr>
      </w:pPr>
      <w:r w:rsidRPr="0063540E">
        <w:rPr>
          <w:rFonts w:ascii="Arial" w:hAnsi="Arial" w:cs="Arial"/>
        </w:rPr>
        <w:t>Protection des</w:t>
      </w:r>
      <w:r w:rsidRPr="0063540E">
        <w:rPr>
          <w:rFonts w:ascii="Arial" w:hAnsi="Arial" w:cs="Arial"/>
          <w:spacing w:val="1"/>
        </w:rPr>
        <w:t xml:space="preserve"> </w:t>
      </w:r>
      <w:r w:rsidRPr="0063540E">
        <w:rPr>
          <w:rFonts w:ascii="Arial" w:hAnsi="Arial" w:cs="Arial"/>
        </w:rPr>
        <w:t>données</w:t>
      </w:r>
      <w:r w:rsidRPr="0063540E">
        <w:rPr>
          <w:rFonts w:ascii="Arial" w:hAnsi="Arial" w:cs="Arial"/>
          <w:spacing w:val="1"/>
        </w:rPr>
        <w:t xml:space="preserve"> </w:t>
      </w:r>
      <w:r w:rsidRPr="0063540E">
        <w:rPr>
          <w:rFonts w:ascii="Arial" w:hAnsi="Arial" w:cs="Arial"/>
        </w:rPr>
        <w:t>à</w:t>
      </w:r>
      <w:r w:rsidRPr="0063540E">
        <w:rPr>
          <w:rFonts w:ascii="Arial" w:hAnsi="Arial" w:cs="Arial"/>
          <w:spacing w:val="1"/>
        </w:rPr>
        <w:t xml:space="preserve"> </w:t>
      </w:r>
      <w:r w:rsidRPr="0063540E">
        <w:rPr>
          <w:rFonts w:ascii="Arial" w:hAnsi="Arial" w:cs="Arial"/>
        </w:rPr>
        <w:t>caractère</w:t>
      </w:r>
      <w:r w:rsidRPr="0063540E">
        <w:rPr>
          <w:rFonts w:ascii="Arial" w:hAnsi="Arial" w:cs="Arial"/>
          <w:spacing w:val="1"/>
        </w:rPr>
        <w:t xml:space="preserve"> </w:t>
      </w:r>
      <w:r w:rsidRPr="0063540E">
        <w:rPr>
          <w:rFonts w:ascii="Arial" w:hAnsi="Arial" w:cs="Arial"/>
        </w:rPr>
        <w:t>personnel</w:t>
      </w:r>
      <w:r w:rsidRPr="0063540E">
        <w:rPr>
          <w:rFonts w:ascii="Arial" w:hAnsi="Arial" w:cs="Arial"/>
          <w:spacing w:val="-3"/>
        </w:rPr>
        <w:t xml:space="preserve"> </w:t>
      </w:r>
      <w:r w:rsidRPr="0063540E">
        <w:rPr>
          <w:rFonts w:ascii="Arial" w:hAnsi="Arial" w:cs="Arial"/>
        </w:rPr>
        <w:t>du</w:t>
      </w:r>
      <w:r w:rsidRPr="0063540E">
        <w:rPr>
          <w:rFonts w:ascii="Arial" w:hAnsi="Arial" w:cs="Arial"/>
          <w:spacing w:val="1"/>
        </w:rPr>
        <w:t xml:space="preserve"> </w:t>
      </w:r>
      <w:r w:rsidRPr="0063540E">
        <w:rPr>
          <w:rFonts w:ascii="Arial" w:hAnsi="Arial" w:cs="Arial"/>
          <w:spacing w:val="-2"/>
        </w:rPr>
        <w:t>stagiaire</w:t>
      </w:r>
    </w:p>
    <w:p w14:paraId="174BB2A7" w14:textId="24FAEAB2" w:rsidR="009B4371" w:rsidRPr="0063540E" w:rsidRDefault="00782CB1" w:rsidP="00661F10">
      <w:pPr>
        <w:pStyle w:val="Corpsdetexte"/>
        <w:spacing w:before="14" w:line="273" w:lineRule="auto"/>
        <w:ind w:left="77" w:right="186"/>
        <w:jc w:val="both"/>
      </w:pPr>
      <w:r w:rsidRPr="0063540E">
        <w:rPr>
          <w:spacing w:val="-2"/>
          <w:w w:val="80"/>
        </w:rPr>
        <w:t>Les</w:t>
      </w:r>
      <w:r w:rsidRPr="0063540E">
        <w:t xml:space="preserve"> </w:t>
      </w:r>
      <w:r w:rsidRPr="0063540E">
        <w:rPr>
          <w:spacing w:val="-2"/>
          <w:w w:val="80"/>
        </w:rPr>
        <w:t>données</w:t>
      </w:r>
      <w:r w:rsidRPr="0063540E">
        <w:t xml:space="preserve"> </w:t>
      </w:r>
      <w:r w:rsidRPr="0063540E">
        <w:rPr>
          <w:spacing w:val="-2"/>
          <w:w w:val="80"/>
        </w:rPr>
        <w:t>personnelles</w:t>
      </w:r>
      <w:r w:rsidRPr="0063540E">
        <w:t xml:space="preserve"> </w:t>
      </w:r>
      <w:r w:rsidRPr="0063540E">
        <w:rPr>
          <w:spacing w:val="-2"/>
          <w:w w:val="80"/>
        </w:rPr>
        <w:t>des</w:t>
      </w:r>
      <w:r w:rsidRPr="0063540E">
        <w:t xml:space="preserve"> </w:t>
      </w:r>
      <w:r w:rsidRPr="0063540E">
        <w:rPr>
          <w:spacing w:val="-2"/>
          <w:w w:val="80"/>
        </w:rPr>
        <w:t>stagiaires</w:t>
      </w:r>
      <w:r w:rsidRPr="0063540E">
        <w:t xml:space="preserve"> </w:t>
      </w:r>
      <w:r w:rsidRPr="0063540E">
        <w:rPr>
          <w:spacing w:val="-2"/>
          <w:w w:val="80"/>
        </w:rPr>
        <w:t>sont</w:t>
      </w:r>
      <w:r w:rsidRPr="0063540E">
        <w:t xml:space="preserve"> </w:t>
      </w:r>
      <w:r w:rsidRPr="0063540E">
        <w:rPr>
          <w:spacing w:val="-2"/>
          <w:w w:val="80"/>
        </w:rPr>
        <w:t>utilisées</w:t>
      </w:r>
      <w:r w:rsidRPr="0063540E">
        <w:t xml:space="preserve"> </w:t>
      </w:r>
      <w:r w:rsidRPr="0063540E">
        <w:rPr>
          <w:spacing w:val="-2"/>
          <w:w w:val="80"/>
        </w:rPr>
        <w:t>dans</w:t>
      </w:r>
      <w:r w:rsidRPr="0063540E">
        <w:t xml:space="preserve"> </w:t>
      </w:r>
      <w:r w:rsidRPr="0063540E">
        <w:rPr>
          <w:spacing w:val="-2"/>
          <w:w w:val="80"/>
        </w:rPr>
        <w:t>le</w:t>
      </w:r>
      <w:r w:rsidRPr="0063540E">
        <w:t xml:space="preserve"> </w:t>
      </w:r>
      <w:r w:rsidRPr="0063540E">
        <w:rPr>
          <w:spacing w:val="-2"/>
          <w:w w:val="80"/>
        </w:rPr>
        <w:t>cadre</w:t>
      </w:r>
      <w:r w:rsidRPr="0063540E">
        <w:t xml:space="preserve"> </w:t>
      </w:r>
      <w:r w:rsidRPr="0063540E">
        <w:rPr>
          <w:spacing w:val="-2"/>
          <w:w w:val="80"/>
        </w:rPr>
        <w:t>strict</w:t>
      </w:r>
      <w:r w:rsidRPr="0063540E">
        <w:t xml:space="preserve"> </w:t>
      </w:r>
      <w:r w:rsidRPr="0063540E">
        <w:rPr>
          <w:spacing w:val="-2"/>
          <w:w w:val="80"/>
        </w:rPr>
        <w:t>de</w:t>
      </w:r>
      <w:r w:rsidRPr="0063540E">
        <w:t xml:space="preserve"> </w:t>
      </w:r>
      <w:r w:rsidRPr="0063540E">
        <w:rPr>
          <w:spacing w:val="-2"/>
          <w:w w:val="80"/>
        </w:rPr>
        <w:t>l’inscription,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l’exécution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et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suivi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de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sa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formation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par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les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services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C</w:t>
      </w:r>
      <w:r w:rsidR="00612EBA" w:rsidRPr="0063540E">
        <w:rPr>
          <w:spacing w:val="-2"/>
          <w:w w:val="80"/>
        </w:rPr>
        <w:t>onvergence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en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charge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du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traitement.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5"/>
        </w:rPr>
        <w:t>Les données sont nécessaires à l’exécution de la formation en application de l’article</w:t>
      </w:r>
      <w:r w:rsidR="00661F10" w:rsidRPr="0063540E">
        <w:t xml:space="preserve"> </w:t>
      </w:r>
      <w:r w:rsidRPr="0063540E">
        <w:rPr>
          <w:spacing w:val="-2"/>
          <w:w w:val="85"/>
        </w:rPr>
        <w:t>L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6353-9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du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Code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du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travail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et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des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services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C</w:t>
      </w:r>
      <w:r w:rsidR="00661F10" w:rsidRPr="0063540E">
        <w:rPr>
          <w:spacing w:val="-2"/>
          <w:w w:val="85"/>
        </w:rPr>
        <w:t>onvergence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associés,</w:t>
      </w:r>
      <w:r w:rsidRPr="0063540E">
        <w:rPr>
          <w:spacing w:val="-8"/>
          <w:w w:val="85"/>
        </w:rPr>
        <w:t xml:space="preserve"> </w:t>
      </w:r>
      <w:r w:rsidRPr="0063540E">
        <w:rPr>
          <w:spacing w:val="-2"/>
          <w:w w:val="85"/>
        </w:rPr>
        <w:t>y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compris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l’accès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à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la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5"/>
        </w:rPr>
        <w:t>plateforme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Learning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Hub.</w:t>
      </w:r>
      <w:r w:rsidRPr="0063540E">
        <w:rPr>
          <w:spacing w:val="-8"/>
          <w:w w:val="85"/>
        </w:rPr>
        <w:t xml:space="preserve"> </w:t>
      </w:r>
      <w:r w:rsidRPr="0063540E">
        <w:rPr>
          <w:spacing w:val="-2"/>
          <w:w w:val="85"/>
        </w:rPr>
        <w:t>Elles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sont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conservées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pour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la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durée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légale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de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prescription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des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5"/>
        </w:rPr>
        <w:t>contrôles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administratif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et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financier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applicables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aux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actions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de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formation.</w:t>
      </w:r>
      <w:r w:rsidRPr="0063540E">
        <w:rPr>
          <w:spacing w:val="-7"/>
          <w:w w:val="85"/>
        </w:rPr>
        <w:t xml:space="preserve"> </w:t>
      </w:r>
      <w:r w:rsidRPr="0063540E">
        <w:rPr>
          <w:spacing w:val="-2"/>
          <w:w w:val="85"/>
        </w:rPr>
        <w:t>En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application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de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0"/>
        </w:rPr>
        <w:t>la réglementation sur la protection des données à caractère personnel, le stagiaire bénéficie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5"/>
        </w:rPr>
        <w:t>d’un droit d’accès,</w:t>
      </w:r>
      <w:r w:rsidRPr="0063540E">
        <w:rPr>
          <w:spacing w:val="-7"/>
          <w:w w:val="85"/>
        </w:rPr>
        <w:t xml:space="preserve"> </w:t>
      </w:r>
      <w:r w:rsidRPr="0063540E">
        <w:rPr>
          <w:spacing w:val="-2"/>
          <w:w w:val="85"/>
        </w:rPr>
        <w:t>de rectification,</w:t>
      </w:r>
      <w:r w:rsidRPr="0063540E">
        <w:rPr>
          <w:spacing w:val="-7"/>
          <w:w w:val="85"/>
        </w:rPr>
        <w:t xml:space="preserve"> </w:t>
      </w:r>
      <w:r w:rsidRPr="0063540E">
        <w:rPr>
          <w:spacing w:val="-2"/>
          <w:w w:val="85"/>
        </w:rPr>
        <w:t>de limitation du traitement ainsi qu’un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droit d’opposition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85"/>
        </w:rPr>
        <w:t>et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de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portabilité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de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ses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données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si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cela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est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applicable,</w:t>
      </w:r>
      <w:r w:rsidRPr="0063540E">
        <w:rPr>
          <w:spacing w:val="-8"/>
          <w:w w:val="85"/>
        </w:rPr>
        <w:t xml:space="preserve"> </w:t>
      </w:r>
      <w:r w:rsidRPr="0063540E">
        <w:rPr>
          <w:spacing w:val="-2"/>
          <w:w w:val="85"/>
        </w:rPr>
        <w:t>qui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peut</w:t>
      </w:r>
      <w:r w:rsidRPr="0063540E">
        <w:rPr>
          <w:spacing w:val="-3"/>
          <w:w w:val="85"/>
        </w:rPr>
        <w:t xml:space="preserve"> </w:t>
      </w:r>
      <w:r w:rsidRPr="0063540E">
        <w:rPr>
          <w:spacing w:val="-2"/>
          <w:w w:val="85"/>
        </w:rPr>
        <w:t>être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exercé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en</w:t>
      </w:r>
      <w:r w:rsidRPr="0063540E">
        <w:rPr>
          <w:spacing w:val="-4"/>
          <w:w w:val="85"/>
        </w:rPr>
        <w:t xml:space="preserve"> </w:t>
      </w:r>
      <w:r w:rsidRPr="0063540E">
        <w:rPr>
          <w:spacing w:val="-2"/>
          <w:w w:val="85"/>
        </w:rPr>
        <w:t>s’adressant</w:t>
      </w:r>
    </w:p>
    <w:p w14:paraId="4E117740" w14:textId="17CB3ABA" w:rsidR="009B4371" w:rsidRPr="0063540E" w:rsidRDefault="00782CB1">
      <w:pPr>
        <w:pStyle w:val="Corpsdetexte"/>
        <w:spacing w:line="114" w:lineRule="exact"/>
        <w:ind w:left="77"/>
      </w:pPr>
      <w:r w:rsidRPr="0063540E">
        <w:rPr>
          <w:spacing w:val="-2"/>
          <w:w w:val="80"/>
        </w:rPr>
        <w:t>à</w:t>
      </w:r>
      <w:r w:rsidRPr="0063540E">
        <w:rPr>
          <w:spacing w:val="-4"/>
        </w:rPr>
        <w:t xml:space="preserve"> </w:t>
      </w:r>
      <w:r w:rsidRPr="0063540E">
        <w:rPr>
          <w:spacing w:val="-2"/>
          <w:w w:val="80"/>
        </w:rPr>
        <w:t>C</w:t>
      </w:r>
      <w:r w:rsidR="00661F10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>,</w:t>
      </w:r>
      <w:r w:rsidRPr="0063540E">
        <w:rPr>
          <w:spacing w:val="-3"/>
          <w:w w:val="80"/>
        </w:rPr>
        <w:t xml:space="preserve"> </w:t>
      </w:r>
      <w:r w:rsidRPr="0063540E">
        <w:rPr>
          <w:spacing w:val="-2"/>
          <w:w w:val="80"/>
        </w:rPr>
        <w:t>Direction</w:t>
      </w:r>
      <w:r w:rsidRPr="0063540E">
        <w:rPr>
          <w:spacing w:val="-4"/>
        </w:rPr>
        <w:t xml:space="preserve"> </w:t>
      </w:r>
      <w:r w:rsidRPr="0063540E">
        <w:rPr>
          <w:spacing w:val="-2"/>
          <w:w w:val="80"/>
        </w:rPr>
        <w:t>des</w:t>
      </w:r>
      <w:r w:rsidRPr="0063540E">
        <w:rPr>
          <w:spacing w:val="-4"/>
        </w:rPr>
        <w:t xml:space="preserve"> </w:t>
      </w:r>
      <w:r w:rsidRPr="0063540E">
        <w:rPr>
          <w:spacing w:val="-2"/>
          <w:w w:val="80"/>
        </w:rPr>
        <w:t>Systèmes</w:t>
      </w:r>
      <w:r w:rsidRPr="0063540E">
        <w:rPr>
          <w:spacing w:val="-3"/>
        </w:rPr>
        <w:t xml:space="preserve"> </w:t>
      </w:r>
      <w:r w:rsidRPr="0063540E">
        <w:rPr>
          <w:spacing w:val="-2"/>
          <w:w w:val="80"/>
        </w:rPr>
        <w:t>d’Information,</w:t>
      </w:r>
      <w:r w:rsidRPr="0063540E">
        <w:rPr>
          <w:spacing w:val="-3"/>
          <w:w w:val="80"/>
        </w:rPr>
        <w:t xml:space="preserve"> </w:t>
      </w:r>
      <w:r w:rsidR="00E91916" w:rsidRPr="0063540E">
        <w:rPr>
          <w:spacing w:val="-2"/>
          <w:w w:val="80"/>
        </w:rPr>
        <w:t>24, Avenue du Président Wilson</w:t>
      </w:r>
      <w:r w:rsidRPr="0063540E">
        <w:rPr>
          <w:spacing w:val="-2"/>
          <w:w w:val="80"/>
        </w:rPr>
        <w:t>,</w:t>
      </w:r>
      <w:r w:rsidRPr="0063540E">
        <w:rPr>
          <w:spacing w:val="-3"/>
          <w:w w:val="80"/>
        </w:rPr>
        <w:t xml:space="preserve"> </w:t>
      </w:r>
      <w:r w:rsidR="00E91916" w:rsidRPr="0063540E">
        <w:rPr>
          <w:spacing w:val="-3"/>
          <w:w w:val="80"/>
        </w:rPr>
        <w:t>86100</w:t>
      </w:r>
    </w:p>
    <w:p w14:paraId="4129F90B" w14:textId="388EFA44" w:rsidR="009B4371" w:rsidRPr="0063540E" w:rsidRDefault="00E91916" w:rsidP="005B5823">
      <w:pPr>
        <w:pStyle w:val="Corpsdetexte"/>
        <w:spacing w:before="15" w:line="273" w:lineRule="auto"/>
        <w:ind w:left="77" w:right="145"/>
      </w:pPr>
      <w:r w:rsidRPr="0063540E">
        <w:rPr>
          <w:spacing w:val="-2"/>
          <w:w w:val="80"/>
        </w:rPr>
        <w:t>Châtellerault</w:t>
      </w:r>
      <w:r w:rsidR="00782CB1" w:rsidRPr="0063540E">
        <w:rPr>
          <w:spacing w:val="-2"/>
          <w:w w:val="80"/>
        </w:rPr>
        <w:t>. Le stagiaire bénéficie également du droit d’introduire une réclamation</w:t>
      </w:r>
      <w:r w:rsidR="00782CB1" w:rsidRPr="0063540E">
        <w:rPr>
          <w:spacing w:val="40"/>
        </w:rPr>
        <w:t xml:space="preserve"> </w:t>
      </w:r>
      <w:r w:rsidR="00782CB1" w:rsidRPr="0063540E">
        <w:rPr>
          <w:spacing w:val="-2"/>
          <w:w w:val="85"/>
        </w:rPr>
        <w:t>auprès</w:t>
      </w:r>
      <w:r w:rsidR="00782CB1" w:rsidRPr="0063540E">
        <w:rPr>
          <w:spacing w:val="-3"/>
          <w:w w:val="85"/>
        </w:rPr>
        <w:t xml:space="preserve"> </w:t>
      </w:r>
      <w:r w:rsidR="00782CB1" w:rsidRPr="0063540E">
        <w:rPr>
          <w:spacing w:val="-2"/>
          <w:w w:val="85"/>
        </w:rPr>
        <w:t>d’une</w:t>
      </w:r>
      <w:r w:rsidR="00782CB1" w:rsidRPr="0063540E">
        <w:rPr>
          <w:spacing w:val="-3"/>
          <w:w w:val="85"/>
        </w:rPr>
        <w:t xml:space="preserve"> </w:t>
      </w:r>
      <w:r w:rsidR="00782CB1" w:rsidRPr="0063540E">
        <w:rPr>
          <w:spacing w:val="-2"/>
          <w:w w:val="85"/>
        </w:rPr>
        <w:t>autorité</w:t>
      </w:r>
      <w:r w:rsidR="00782CB1" w:rsidRPr="0063540E">
        <w:rPr>
          <w:spacing w:val="-3"/>
          <w:w w:val="85"/>
        </w:rPr>
        <w:t xml:space="preserve"> </w:t>
      </w:r>
      <w:r w:rsidR="00782CB1" w:rsidRPr="0063540E">
        <w:rPr>
          <w:spacing w:val="-2"/>
          <w:w w:val="85"/>
        </w:rPr>
        <w:t>de</w:t>
      </w:r>
      <w:r w:rsidR="00782CB1" w:rsidRPr="0063540E">
        <w:rPr>
          <w:spacing w:val="-3"/>
          <w:w w:val="85"/>
        </w:rPr>
        <w:t xml:space="preserve"> </w:t>
      </w:r>
      <w:r w:rsidR="00782CB1" w:rsidRPr="0063540E">
        <w:rPr>
          <w:spacing w:val="-2"/>
          <w:w w:val="85"/>
        </w:rPr>
        <w:t>contrôle</w:t>
      </w:r>
      <w:r w:rsidR="00782CB1" w:rsidRPr="0063540E">
        <w:rPr>
          <w:spacing w:val="-3"/>
          <w:w w:val="85"/>
        </w:rPr>
        <w:t xml:space="preserve"> </w:t>
      </w:r>
      <w:r w:rsidR="00782CB1" w:rsidRPr="0063540E">
        <w:rPr>
          <w:spacing w:val="-2"/>
          <w:w w:val="85"/>
        </w:rPr>
        <w:t>si</w:t>
      </w:r>
      <w:r w:rsidR="00782CB1" w:rsidRPr="0063540E">
        <w:rPr>
          <w:spacing w:val="-3"/>
          <w:w w:val="85"/>
        </w:rPr>
        <w:t xml:space="preserve"> </w:t>
      </w:r>
      <w:r w:rsidR="00782CB1" w:rsidRPr="0063540E">
        <w:rPr>
          <w:spacing w:val="-2"/>
          <w:w w:val="85"/>
        </w:rPr>
        <w:t>nécessaire.</w:t>
      </w:r>
      <w:r w:rsidR="00782CB1" w:rsidRPr="0063540E">
        <w:rPr>
          <w:spacing w:val="-8"/>
          <w:w w:val="85"/>
        </w:rPr>
        <w:t xml:space="preserve"> </w:t>
      </w:r>
      <w:r w:rsidR="00782CB1" w:rsidRPr="0063540E">
        <w:rPr>
          <w:spacing w:val="-2"/>
          <w:w w:val="80"/>
        </w:rPr>
        <w:t>En tant que responsable de traitement du</w:t>
      </w:r>
      <w:r w:rsidR="00782CB1" w:rsidRPr="0063540E">
        <w:rPr>
          <w:spacing w:val="40"/>
        </w:rPr>
        <w:t xml:space="preserve"> </w:t>
      </w:r>
      <w:r w:rsidR="00782CB1" w:rsidRPr="0063540E">
        <w:rPr>
          <w:w w:val="80"/>
        </w:rPr>
        <w:t>fichier</w:t>
      </w:r>
      <w:r w:rsidR="00782CB1" w:rsidRPr="0063540E">
        <w:rPr>
          <w:spacing w:val="-3"/>
          <w:w w:val="80"/>
        </w:rPr>
        <w:t xml:space="preserve"> </w:t>
      </w:r>
      <w:r w:rsidR="00782CB1" w:rsidRPr="0063540E">
        <w:rPr>
          <w:w w:val="80"/>
        </w:rPr>
        <w:t>de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w w:val="80"/>
        </w:rPr>
        <w:t>son</w:t>
      </w:r>
      <w:r w:rsidR="00782CB1" w:rsidRPr="0063540E">
        <w:rPr>
          <w:spacing w:val="-3"/>
          <w:w w:val="80"/>
        </w:rPr>
        <w:t xml:space="preserve"> </w:t>
      </w:r>
      <w:r w:rsidR="00782CB1" w:rsidRPr="0063540E">
        <w:rPr>
          <w:w w:val="80"/>
        </w:rPr>
        <w:t>personnel,</w:t>
      </w:r>
      <w:r w:rsidR="00782CB1" w:rsidRPr="0063540E">
        <w:rPr>
          <w:spacing w:val="-6"/>
          <w:w w:val="80"/>
        </w:rPr>
        <w:t xml:space="preserve"> </w:t>
      </w:r>
      <w:r w:rsidR="00782CB1" w:rsidRPr="0063540E">
        <w:rPr>
          <w:w w:val="80"/>
        </w:rPr>
        <w:t>le</w:t>
      </w:r>
      <w:r w:rsidR="00782CB1" w:rsidRPr="0063540E">
        <w:rPr>
          <w:spacing w:val="-3"/>
          <w:w w:val="80"/>
        </w:rPr>
        <w:t xml:space="preserve"> </w:t>
      </w:r>
      <w:r w:rsidR="00782CB1" w:rsidRPr="0063540E">
        <w:rPr>
          <w:w w:val="80"/>
        </w:rPr>
        <w:t>Client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w w:val="80"/>
        </w:rPr>
        <w:t>s’engage</w:t>
      </w:r>
      <w:r w:rsidR="00782CB1" w:rsidRPr="0063540E">
        <w:rPr>
          <w:spacing w:val="-3"/>
          <w:w w:val="80"/>
        </w:rPr>
        <w:t xml:space="preserve"> </w:t>
      </w:r>
      <w:r w:rsidR="00782CB1" w:rsidRPr="0063540E">
        <w:rPr>
          <w:w w:val="80"/>
        </w:rPr>
        <w:t>à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w w:val="80"/>
        </w:rPr>
        <w:t>informer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w w:val="80"/>
        </w:rPr>
        <w:t>chaque</w:t>
      </w:r>
      <w:r w:rsidR="00782CB1" w:rsidRPr="0063540E">
        <w:rPr>
          <w:spacing w:val="-3"/>
          <w:w w:val="80"/>
        </w:rPr>
        <w:t xml:space="preserve"> </w:t>
      </w:r>
      <w:r w:rsidR="00782CB1" w:rsidRPr="0063540E">
        <w:rPr>
          <w:w w:val="80"/>
        </w:rPr>
        <w:t>stagiaire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w w:val="80"/>
        </w:rPr>
        <w:t>que</w:t>
      </w:r>
      <w:r w:rsidR="00782CB1" w:rsidRPr="0063540E">
        <w:rPr>
          <w:spacing w:val="-3"/>
          <w:w w:val="80"/>
        </w:rPr>
        <w:t xml:space="preserve"> </w:t>
      </w:r>
      <w:r w:rsidR="00782CB1" w:rsidRPr="0063540E">
        <w:rPr>
          <w:w w:val="80"/>
        </w:rPr>
        <w:t>des</w:t>
      </w:r>
      <w:r w:rsidR="00782CB1" w:rsidRPr="0063540E">
        <w:rPr>
          <w:spacing w:val="-2"/>
          <w:w w:val="80"/>
        </w:rPr>
        <w:t xml:space="preserve"> </w:t>
      </w:r>
      <w:r w:rsidR="00782CB1" w:rsidRPr="0063540E">
        <w:rPr>
          <w:w w:val="80"/>
        </w:rPr>
        <w:t>données</w:t>
      </w:r>
      <w:r w:rsidR="00782CB1" w:rsidRPr="0063540E">
        <w:rPr>
          <w:spacing w:val="40"/>
        </w:rPr>
        <w:t xml:space="preserve"> </w:t>
      </w:r>
      <w:r w:rsidR="00782CB1" w:rsidRPr="0063540E">
        <w:rPr>
          <w:spacing w:val="-2"/>
          <w:w w:val="85"/>
        </w:rPr>
        <w:t>à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caractère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personnel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le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concernant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sont</w:t>
      </w:r>
      <w:r w:rsidR="00782CB1" w:rsidRPr="0063540E">
        <w:rPr>
          <w:spacing w:val="-3"/>
          <w:w w:val="85"/>
        </w:rPr>
        <w:t xml:space="preserve"> </w:t>
      </w:r>
      <w:r w:rsidR="00782CB1" w:rsidRPr="0063540E">
        <w:rPr>
          <w:spacing w:val="-2"/>
          <w:w w:val="85"/>
        </w:rPr>
        <w:t>collectées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et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traitées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par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C</w:t>
      </w:r>
      <w:r w:rsidR="00CF6D7C" w:rsidRPr="0063540E">
        <w:rPr>
          <w:spacing w:val="-2"/>
          <w:w w:val="85"/>
        </w:rPr>
        <w:t>onvergence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aux</w:t>
      </w:r>
      <w:r w:rsidR="00782CB1" w:rsidRPr="0063540E">
        <w:rPr>
          <w:spacing w:val="-3"/>
          <w:w w:val="85"/>
        </w:rPr>
        <w:t xml:space="preserve"> </w:t>
      </w:r>
      <w:r w:rsidR="00782CB1" w:rsidRPr="0063540E">
        <w:rPr>
          <w:spacing w:val="-2"/>
          <w:w w:val="85"/>
        </w:rPr>
        <w:t>fins</w:t>
      </w:r>
      <w:r w:rsidR="00782CB1" w:rsidRPr="0063540E">
        <w:rPr>
          <w:spacing w:val="-4"/>
          <w:w w:val="85"/>
        </w:rPr>
        <w:t xml:space="preserve"> </w:t>
      </w:r>
      <w:r w:rsidR="00782CB1" w:rsidRPr="0063540E">
        <w:rPr>
          <w:spacing w:val="-2"/>
          <w:w w:val="85"/>
        </w:rPr>
        <w:t>de</w:t>
      </w:r>
      <w:r w:rsidR="00782CB1" w:rsidRPr="0063540E">
        <w:rPr>
          <w:spacing w:val="40"/>
        </w:rPr>
        <w:t xml:space="preserve"> </w:t>
      </w:r>
      <w:r w:rsidR="00782CB1" w:rsidRPr="0063540E">
        <w:rPr>
          <w:spacing w:val="-2"/>
          <w:w w:val="85"/>
        </w:rPr>
        <w:t>réalisation et de suivi de la formation dans les conditions définies ci-avant.</w:t>
      </w:r>
    </w:p>
    <w:p w14:paraId="03E902DA" w14:textId="77777777" w:rsidR="00CF6D7C" w:rsidRPr="0063540E" w:rsidRDefault="00782CB1" w:rsidP="00CF6D7C">
      <w:pPr>
        <w:pStyle w:val="Corpsdetexte"/>
        <w:spacing w:line="114" w:lineRule="exact"/>
        <w:ind w:left="77"/>
      </w:pPr>
      <w:r w:rsidRPr="0063540E">
        <w:rPr>
          <w:spacing w:val="-2"/>
          <w:w w:val="80"/>
        </w:rPr>
        <w:t>La charte C</w:t>
      </w:r>
      <w:r w:rsidR="00CF6D7C" w:rsidRPr="0063540E">
        <w:rPr>
          <w:spacing w:val="-2"/>
          <w:w w:val="80"/>
        </w:rPr>
        <w:t>onvergence</w:t>
      </w:r>
      <w:r w:rsidRPr="0063540E">
        <w:rPr>
          <w:spacing w:val="-2"/>
          <w:w w:val="80"/>
        </w:rPr>
        <w:t xml:space="preserve"> sur la protection des données personnelles est disponible sur </w:t>
      </w:r>
      <w:r w:rsidR="00CF6D7C" w:rsidRPr="0063540E">
        <w:rPr>
          <w:spacing w:val="-2"/>
          <w:w w:val="80"/>
        </w:rPr>
        <w:t xml:space="preserve">demande </w:t>
      </w:r>
      <w:r w:rsidR="00CF6D7C" w:rsidRPr="0063540E">
        <w:rPr>
          <w:spacing w:val="-2"/>
          <w:w w:val="80"/>
        </w:rPr>
        <w:t>à</w:t>
      </w:r>
      <w:r w:rsidR="00CF6D7C" w:rsidRPr="0063540E">
        <w:rPr>
          <w:spacing w:val="-4"/>
        </w:rPr>
        <w:t xml:space="preserve"> </w:t>
      </w:r>
      <w:r w:rsidR="00CF6D7C" w:rsidRPr="0063540E">
        <w:rPr>
          <w:spacing w:val="-2"/>
          <w:w w:val="80"/>
        </w:rPr>
        <w:t>Convergence,</w:t>
      </w:r>
      <w:r w:rsidR="00CF6D7C" w:rsidRPr="0063540E">
        <w:rPr>
          <w:spacing w:val="-3"/>
          <w:w w:val="80"/>
        </w:rPr>
        <w:t xml:space="preserve"> </w:t>
      </w:r>
      <w:r w:rsidR="00CF6D7C" w:rsidRPr="0063540E">
        <w:rPr>
          <w:spacing w:val="-2"/>
          <w:w w:val="80"/>
        </w:rPr>
        <w:t>Direction</w:t>
      </w:r>
      <w:r w:rsidR="00CF6D7C" w:rsidRPr="0063540E">
        <w:rPr>
          <w:spacing w:val="-4"/>
        </w:rPr>
        <w:t xml:space="preserve"> </w:t>
      </w:r>
      <w:r w:rsidR="00CF6D7C" w:rsidRPr="0063540E">
        <w:rPr>
          <w:spacing w:val="-2"/>
          <w:w w:val="80"/>
        </w:rPr>
        <w:t>des</w:t>
      </w:r>
      <w:r w:rsidR="00CF6D7C" w:rsidRPr="0063540E">
        <w:rPr>
          <w:spacing w:val="-4"/>
        </w:rPr>
        <w:t xml:space="preserve"> </w:t>
      </w:r>
      <w:r w:rsidR="00CF6D7C" w:rsidRPr="0063540E">
        <w:rPr>
          <w:spacing w:val="-2"/>
          <w:w w:val="80"/>
        </w:rPr>
        <w:t>Systèmes</w:t>
      </w:r>
      <w:r w:rsidR="00CF6D7C" w:rsidRPr="0063540E">
        <w:rPr>
          <w:spacing w:val="-3"/>
        </w:rPr>
        <w:t xml:space="preserve"> </w:t>
      </w:r>
      <w:r w:rsidR="00CF6D7C" w:rsidRPr="0063540E">
        <w:rPr>
          <w:spacing w:val="-2"/>
          <w:w w:val="80"/>
        </w:rPr>
        <w:t>d’Information,</w:t>
      </w:r>
      <w:r w:rsidR="00CF6D7C" w:rsidRPr="0063540E">
        <w:rPr>
          <w:spacing w:val="-3"/>
          <w:w w:val="80"/>
        </w:rPr>
        <w:t xml:space="preserve"> </w:t>
      </w:r>
      <w:r w:rsidR="00CF6D7C" w:rsidRPr="0063540E">
        <w:rPr>
          <w:spacing w:val="-2"/>
          <w:w w:val="80"/>
        </w:rPr>
        <w:t>24, Avenue du Président Wilson,</w:t>
      </w:r>
      <w:r w:rsidR="00CF6D7C" w:rsidRPr="0063540E">
        <w:rPr>
          <w:spacing w:val="-3"/>
          <w:w w:val="80"/>
        </w:rPr>
        <w:t xml:space="preserve"> 86100</w:t>
      </w:r>
    </w:p>
    <w:p w14:paraId="0243FC08" w14:textId="1D1F117B" w:rsidR="009B4371" w:rsidRPr="0063540E" w:rsidRDefault="00CF6D7C" w:rsidP="00CF6D7C">
      <w:pPr>
        <w:pStyle w:val="Corpsdetexte"/>
        <w:spacing w:line="273" w:lineRule="auto"/>
        <w:ind w:left="77" w:right="191"/>
        <w:rPr>
          <w:spacing w:val="-2"/>
          <w:w w:val="80"/>
        </w:rPr>
      </w:pPr>
      <w:r w:rsidRPr="0063540E">
        <w:rPr>
          <w:spacing w:val="-2"/>
          <w:w w:val="80"/>
        </w:rPr>
        <w:t>Châtellerault</w:t>
      </w:r>
    </w:p>
    <w:p w14:paraId="2141DE49" w14:textId="77777777" w:rsidR="00433D1F" w:rsidRPr="0063540E" w:rsidRDefault="00433D1F" w:rsidP="00CF6D7C">
      <w:pPr>
        <w:pStyle w:val="Corpsdetexte"/>
        <w:spacing w:line="273" w:lineRule="auto"/>
        <w:ind w:left="77" w:right="191"/>
      </w:pPr>
    </w:p>
    <w:p w14:paraId="05287B01" w14:textId="77777777" w:rsidR="009B4371" w:rsidRPr="0063540E" w:rsidRDefault="00782CB1">
      <w:pPr>
        <w:pStyle w:val="Titre2"/>
        <w:numPr>
          <w:ilvl w:val="1"/>
          <w:numId w:val="1"/>
        </w:numPr>
        <w:tabs>
          <w:tab w:val="left" w:pos="250"/>
        </w:tabs>
        <w:ind w:left="250" w:hanging="173"/>
        <w:rPr>
          <w:rFonts w:ascii="Arial" w:hAnsi="Arial" w:cs="Arial"/>
        </w:rPr>
      </w:pPr>
      <w:r w:rsidRPr="0063540E">
        <w:rPr>
          <w:rFonts w:ascii="Arial" w:hAnsi="Arial" w:cs="Arial"/>
        </w:rPr>
        <w:t>Droit</w:t>
      </w:r>
      <w:r w:rsidRPr="0063540E">
        <w:rPr>
          <w:rFonts w:ascii="Arial" w:hAnsi="Arial" w:cs="Arial"/>
          <w:spacing w:val="-3"/>
        </w:rPr>
        <w:t xml:space="preserve"> </w:t>
      </w:r>
      <w:r w:rsidRPr="0063540E">
        <w:rPr>
          <w:rFonts w:ascii="Arial" w:hAnsi="Arial" w:cs="Arial"/>
        </w:rPr>
        <w:t>applicable</w:t>
      </w:r>
      <w:r w:rsidRPr="0063540E">
        <w:rPr>
          <w:rFonts w:ascii="Arial" w:hAnsi="Arial" w:cs="Arial"/>
          <w:spacing w:val="-2"/>
        </w:rPr>
        <w:t xml:space="preserve"> </w:t>
      </w:r>
      <w:r w:rsidRPr="0063540E">
        <w:rPr>
          <w:rFonts w:ascii="Arial" w:hAnsi="Arial" w:cs="Arial"/>
        </w:rPr>
        <w:t>-</w:t>
      </w:r>
      <w:r w:rsidRPr="0063540E">
        <w:rPr>
          <w:rFonts w:ascii="Arial" w:hAnsi="Arial" w:cs="Arial"/>
          <w:spacing w:val="-6"/>
        </w:rPr>
        <w:t xml:space="preserve"> </w:t>
      </w:r>
      <w:r w:rsidRPr="0063540E">
        <w:rPr>
          <w:rFonts w:ascii="Arial" w:hAnsi="Arial" w:cs="Arial"/>
        </w:rPr>
        <w:t>Attribution</w:t>
      </w:r>
      <w:r w:rsidRPr="0063540E">
        <w:rPr>
          <w:rFonts w:ascii="Arial" w:hAnsi="Arial" w:cs="Arial"/>
          <w:spacing w:val="-2"/>
        </w:rPr>
        <w:t xml:space="preserve"> </w:t>
      </w:r>
      <w:r w:rsidRPr="0063540E">
        <w:rPr>
          <w:rFonts w:ascii="Arial" w:hAnsi="Arial" w:cs="Arial"/>
        </w:rPr>
        <w:t>de</w:t>
      </w:r>
      <w:r w:rsidRPr="0063540E">
        <w:rPr>
          <w:rFonts w:ascii="Arial" w:hAnsi="Arial" w:cs="Arial"/>
          <w:spacing w:val="-3"/>
        </w:rPr>
        <w:t xml:space="preserve"> </w:t>
      </w:r>
      <w:r w:rsidRPr="0063540E">
        <w:rPr>
          <w:rFonts w:ascii="Arial" w:hAnsi="Arial" w:cs="Arial"/>
          <w:spacing w:val="-2"/>
        </w:rPr>
        <w:t>compétence</w:t>
      </w:r>
    </w:p>
    <w:p w14:paraId="7D037C66" w14:textId="0DD32550" w:rsidR="009B4371" w:rsidRPr="0063540E" w:rsidRDefault="00782CB1">
      <w:pPr>
        <w:pStyle w:val="Corpsdetexte"/>
        <w:spacing w:before="14" w:line="273" w:lineRule="auto"/>
        <w:ind w:left="77" w:right="191"/>
      </w:pPr>
      <w:r w:rsidRPr="0063540E">
        <w:rPr>
          <w:w w:val="80"/>
        </w:rPr>
        <w:t>Les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présentes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conditions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générales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sont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régies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par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le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droit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français.</w:t>
      </w:r>
      <w:r w:rsidRPr="0063540E">
        <w:rPr>
          <w:spacing w:val="-7"/>
          <w:w w:val="80"/>
        </w:rPr>
        <w:t xml:space="preserve"> </w:t>
      </w:r>
      <w:r w:rsidRPr="0063540E">
        <w:rPr>
          <w:w w:val="80"/>
        </w:rPr>
        <w:t>EN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CAS</w:t>
      </w:r>
      <w:r w:rsidRPr="0063540E">
        <w:rPr>
          <w:spacing w:val="-3"/>
          <w:w w:val="80"/>
        </w:rPr>
        <w:t xml:space="preserve"> </w:t>
      </w:r>
      <w:r w:rsidRPr="0063540E">
        <w:rPr>
          <w:w w:val="80"/>
        </w:rPr>
        <w:t>DE</w:t>
      </w:r>
      <w:r w:rsidRPr="0063540E">
        <w:rPr>
          <w:spacing w:val="-2"/>
          <w:w w:val="80"/>
        </w:rPr>
        <w:t xml:space="preserve"> </w:t>
      </w:r>
      <w:r w:rsidRPr="0063540E">
        <w:rPr>
          <w:w w:val="80"/>
        </w:rPr>
        <w:t>LITIGE</w:t>
      </w:r>
      <w:r w:rsidRPr="0063540E">
        <w:rPr>
          <w:spacing w:val="40"/>
        </w:rPr>
        <w:t xml:space="preserve"> </w:t>
      </w:r>
      <w:r w:rsidRPr="0063540E">
        <w:rPr>
          <w:spacing w:val="-2"/>
          <w:w w:val="75"/>
        </w:rPr>
        <w:t>SURVENANT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ENTRE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LE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CLIENT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ET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C</w:t>
      </w:r>
      <w:r w:rsidR="00CF6D7C" w:rsidRPr="0063540E">
        <w:rPr>
          <w:spacing w:val="-2"/>
          <w:w w:val="75"/>
        </w:rPr>
        <w:t>onvergence</w:t>
      </w:r>
      <w:r w:rsidRPr="0063540E">
        <w:rPr>
          <w:spacing w:val="-6"/>
          <w:w w:val="75"/>
        </w:rPr>
        <w:t xml:space="preserve"> </w:t>
      </w:r>
      <w:r w:rsidRPr="0063540E">
        <w:rPr>
          <w:spacing w:val="-2"/>
          <w:w w:val="75"/>
        </w:rPr>
        <w:t>À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L’OCCASION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DE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L’EXÉCUTION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DU</w:t>
      </w:r>
      <w:r w:rsidRPr="0063540E">
        <w:rPr>
          <w:spacing w:val="-8"/>
        </w:rPr>
        <w:t xml:space="preserve"> </w:t>
      </w:r>
      <w:r w:rsidRPr="0063540E">
        <w:rPr>
          <w:spacing w:val="-2"/>
          <w:w w:val="75"/>
        </w:rPr>
        <w:t>CONTRAT,</w:t>
      </w:r>
      <w:r w:rsidRPr="0063540E">
        <w:rPr>
          <w:spacing w:val="40"/>
        </w:rPr>
        <w:t xml:space="preserve"> </w:t>
      </w:r>
      <w:r w:rsidRPr="0063540E">
        <w:rPr>
          <w:w w:val="70"/>
        </w:rPr>
        <w:t>IL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SERA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RECHERCHÉ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UNE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SOLUTION</w:t>
      </w:r>
      <w:r w:rsidRPr="0063540E">
        <w:rPr>
          <w:spacing w:val="-4"/>
          <w:w w:val="70"/>
        </w:rPr>
        <w:t xml:space="preserve"> </w:t>
      </w:r>
      <w:r w:rsidRPr="0063540E">
        <w:rPr>
          <w:w w:val="70"/>
        </w:rPr>
        <w:t>À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L’AMIABLE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ET,</w:t>
      </w:r>
      <w:r w:rsidRPr="0063540E">
        <w:rPr>
          <w:spacing w:val="-8"/>
          <w:w w:val="70"/>
        </w:rPr>
        <w:t xml:space="preserve"> </w:t>
      </w:r>
      <w:r w:rsidRPr="0063540E">
        <w:rPr>
          <w:w w:val="70"/>
        </w:rPr>
        <w:t>À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DÉFAUT,</w:t>
      </w:r>
      <w:r w:rsidRPr="0063540E">
        <w:rPr>
          <w:spacing w:val="-3"/>
          <w:w w:val="70"/>
        </w:rPr>
        <w:t xml:space="preserve"> </w:t>
      </w:r>
      <w:r w:rsidRPr="0063540E">
        <w:rPr>
          <w:w w:val="70"/>
        </w:rPr>
        <w:t>LE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RÈGLEMENT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SERA</w:t>
      </w:r>
      <w:r w:rsidRPr="0063540E">
        <w:rPr>
          <w:spacing w:val="-8"/>
        </w:rPr>
        <w:t xml:space="preserve"> </w:t>
      </w:r>
      <w:r w:rsidRPr="0063540E">
        <w:rPr>
          <w:w w:val="70"/>
        </w:rPr>
        <w:t>DU</w:t>
      </w:r>
      <w:r w:rsidRPr="0063540E">
        <w:rPr>
          <w:spacing w:val="40"/>
        </w:rPr>
        <w:t xml:space="preserve"> </w:t>
      </w:r>
      <w:r w:rsidRPr="0063540E">
        <w:rPr>
          <w:w w:val="75"/>
        </w:rPr>
        <w:t>RESSORT</w:t>
      </w:r>
      <w:r w:rsidRPr="0063540E">
        <w:rPr>
          <w:spacing w:val="-2"/>
          <w:w w:val="75"/>
        </w:rPr>
        <w:t xml:space="preserve"> </w:t>
      </w:r>
      <w:r w:rsidRPr="0063540E">
        <w:rPr>
          <w:w w:val="75"/>
        </w:rPr>
        <w:t>DU</w:t>
      </w:r>
      <w:r w:rsidRPr="0063540E">
        <w:rPr>
          <w:spacing w:val="-5"/>
          <w:w w:val="75"/>
        </w:rPr>
        <w:t xml:space="preserve"> </w:t>
      </w:r>
      <w:r w:rsidRPr="0063540E">
        <w:rPr>
          <w:w w:val="75"/>
        </w:rPr>
        <w:t>TRIBUNAL</w:t>
      </w:r>
      <w:r w:rsidRPr="0063540E">
        <w:rPr>
          <w:spacing w:val="-1"/>
          <w:w w:val="75"/>
        </w:rPr>
        <w:t xml:space="preserve"> </w:t>
      </w:r>
      <w:r w:rsidRPr="0063540E">
        <w:rPr>
          <w:w w:val="75"/>
        </w:rPr>
        <w:t>DE</w:t>
      </w:r>
      <w:r w:rsidRPr="0063540E">
        <w:rPr>
          <w:spacing w:val="-1"/>
          <w:w w:val="75"/>
        </w:rPr>
        <w:t xml:space="preserve"> </w:t>
      </w:r>
      <w:r w:rsidRPr="0063540E">
        <w:rPr>
          <w:w w:val="75"/>
        </w:rPr>
        <w:t>COMMERCE</w:t>
      </w:r>
      <w:r w:rsidRPr="0063540E">
        <w:rPr>
          <w:spacing w:val="-1"/>
          <w:w w:val="75"/>
        </w:rPr>
        <w:t xml:space="preserve"> </w:t>
      </w:r>
      <w:r w:rsidRPr="0063540E">
        <w:rPr>
          <w:w w:val="75"/>
        </w:rPr>
        <w:t>DE</w:t>
      </w:r>
      <w:r w:rsidRPr="0063540E">
        <w:rPr>
          <w:spacing w:val="-1"/>
          <w:w w:val="75"/>
        </w:rPr>
        <w:t xml:space="preserve"> </w:t>
      </w:r>
      <w:r w:rsidR="0093118A" w:rsidRPr="0063540E">
        <w:rPr>
          <w:w w:val="75"/>
        </w:rPr>
        <w:t>POITIERS</w:t>
      </w:r>
      <w:r w:rsidRPr="0063540E">
        <w:rPr>
          <w:w w:val="75"/>
        </w:rPr>
        <w:t>.</w:t>
      </w:r>
    </w:p>
    <w:sectPr w:rsidR="009B4371" w:rsidRPr="0063540E">
      <w:type w:val="continuous"/>
      <w:pgSz w:w="11910" w:h="16840"/>
      <w:pgMar w:top="360" w:right="740" w:bottom="280" w:left="1020" w:header="720" w:footer="720" w:gutter="0"/>
      <w:cols w:num="3" w:space="720" w:equalWidth="0">
        <w:col w:w="3343" w:space="40"/>
        <w:col w:w="3305" w:space="39"/>
        <w:col w:w="3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224A"/>
    <w:multiLevelType w:val="multilevel"/>
    <w:tmpl w:val="521435A0"/>
    <w:lvl w:ilvl="0">
      <w:start w:val="6"/>
      <w:numFmt w:val="decimal"/>
      <w:lvlText w:val="%1."/>
      <w:lvlJc w:val="left"/>
      <w:pPr>
        <w:ind w:left="208" w:hanging="132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7F5CA3"/>
        <w:spacing w:val="0"/>
        <w:w w:val="87"/>
        <w:sz w:val="10"/>
        <w:szCs w:val="1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33" w:hanging="157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79"/>
        <w:sz w:val="10"/>
        <w:szCs w:val="10"/>
        <w:lang w:val="fr-FR" w:eastAsia="en-US" w:bidi="ar-SA"/>
      </w:rPr>
    </w:lvl>
    <w:lvl w:ilvl="2">
      <w:numFmt w:val="bullet"/>
      <w:lvlText w:val="-"/>
      <w:lvlJc w:val="left"/>
      <w:pPr>
        <w:ind w:left="131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0"/>
        <w:szCs w:val="10"/>
        <w:lang w:val="fr-FR" w:eastAsia="en-US" w:bidi="ar-SA"/>
      </w:rPr>
    </w:lvl>
    <w:lvl w:ilvl="3">
      <w:numFmt w:val="bullet"/>
      <w:lvlText w:val="•"/>
      <w:lvlJc w:val="left"/>
      <w:pPr>
        <w:ind w:left="240" w:hanging="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77" w:hanging="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115" w:hanging="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553" w:hanging="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991" w:hanging="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429" w:hanging="56"/>
      </w:pPr>
      <w:rPr>
        <w:rFonts w:hint="default"/>
        <w:lang w:val="fr-FR" w:eastAsia="en-US" w:bidi="ar-SA"/>
      </w:rPr>
    </w:lvl>
  </w:abstractNum>
  <w:abstractNum w:abstractNumId="1" w15:restartNumberingAfterBreak="0">
    <w:nsid w:val="341D7A2F"/>
    <w:multiLevelType w:val="multilevel"/>
    <w:tmpl w:val="78DCF7D2"/>
    <w:lvl w:ilvl="0">
      <w:start w:val="5"/>
      <w:numFmt w:val="decimal"/>
      <w:lvlText w:val="%1"/>
      <w:lvlJc w:val="left"/>
      <w:pPr>
        <w:ind w:left="217" w:hanging="104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7F5CA3"/>
        <w:spacing w:val="0"/>
        <w:w w:val="94"/>
        <w:sz w:val="10"/>
        <w:szCs w:val="1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65" w:hanging="152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2"/>
        <w:sz w:val="10"/>
        <w:szCs w:val="10"/>
        <w:lang w:val="fr-FR" w:eastAsia="en-US" w:bidi="ar-SA"/>
      </w:rPr>
    </w:lvl>
    <w:lvl w:ilvl="2">
      <w:numFmt w:val="bullet"/>
      <w:lvlText w:val="-"/>
      <w:lvlJc w:val="left"/>
      <w:pPr>
        <w:ind w:left="168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0"/>
        <w:szCs w:val="10"/>
        <w:lang w:val="fr-FR" w:eastAsia="en-US" w:bidi="ar-SA"/>
      </w:rPr>
    </w:lvl>
    <w:lvl w:ilvl="3">
      <w:numFmt w:val="bullet"/>
      <w:lvlText w:val="•"/>
      <w:lvlJc w:val="left"/>
      <w:pPr>
        <w:ind w:left="645" w:hanging="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030" w:hanging="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415" w:hanging="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801" w:hanging="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186" w:hanging="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571" w:hanging="56"/>
      </w:pPr>
      <w:rPr>
        <w:rFonts w:hint="default"/>
        <w:lang w:val="fr-FR" w:eastAsia="en-US" w:bidi="ar-SA"/>
      </w:rPr>
    </w:lvl>
  </w:abstractNum>
  <w:abstractNum w:abstractNumId="2" w15:restartNumberingAfterBreak="0">
    <w:nsid w:val="479158C0"/>
    <w:multiLevelType w:val="multilevel"/>
    <w:tmpl w:val="2CECA228"/>
    <w:lvl w:ilvl="0">
      <w:start w:val="1"/>
      <w:numFmt w:val="decimal"/>
      <w:lvlText w:val="%1."/>
      <w:lvlJc w:val="left"/>
      <w:pPr>
        <w:ind w:left="233" w:hanging="12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7F5CA3"/>
        <w:spacing w:val="0"/>
        <w:w w:val="75"/>
        <w:sz w:val="10"/>
        <w:szCs w:val="1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66" w:hanging="153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3"/>
        <w:sz w:val="10"/>
        <w:szCs w:val="1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317" w:hanging="2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6"/>
        <w:sz w:val="10"/>
        <w:szCs w:val="10"/>
        <w:lang w:val="fr-FR" w:eastAsia="en-US" w:bidi="ar-SA"/>
      </w:rPr>
    </w:lvl>
    <w:lvl w:ilvl="3">
      <w:numFmt w:val="bullet"/>
      <w:lvlText w:val="•"/>
      <w:lvlJc w:val="left"/>
      <w:pPr>
        <w:ind w:left="697" w:hanging="2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075" w:hanging="2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453" w:hanging="2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831" w:hanging="2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2208" w:hanging="2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2586" w:hanging="204"/>
      </w:pPr>
      <w:rPr>
        <w:rFonts w:hint="default"/>
        <w:lang w:val="fr-FR" w:eastAsia="en-US" w:bidi="ar-SA"/>
      </w:rPr>
    </w:lvl>
  </w:abstractNum>
  <w:abstractNum w:abstractNumId="3" w15:restartNumberingAfterBreak="0">
    <w:nsid w:val="4ACD513C"/>
    <w:multiLevelType w:val="multilevel"/>
    <w:tmpl w:val="73BA248A"/>
    <w:lvl w:ilvl="0">
      <w:start w:val="7"/>
      <w:numFmt w:val="decimal"/>
      <w:lvlText w:val="%1"/>
      <w:lvlJc w:val="left"/>
      <w:pPr>
        <w:ind w:left="251" w:hanging="17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."/>
      <w:lvlJc w:val="left"/>
      <w:pPr>
        <w:ind w:left="251" w:hanging="17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8"/>
        <w:w w:val="76"/>
        <w:sz w:val="10"/>
        <w:szCs w:val="1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280" w:hanging="2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6"/>
        <w:sz w:val="10"/>
        <w:szCs w:val="10"/>
        <w:lang w:val="fr-FR" w:eastAsia="en-US" w:bidi="ar-SA"/>
      </w:rPr>
    </w:lvl>
    <w:lvl w:ilvl="3">
      <w:numFmt w:val="bullet"/>
      <w:lvlText w:val="-"/>
      <w:lvlJc w:val="left"/>
      <w:pPr>
        <w:ind w:left="132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0"/>
        <w:szCs w:val="10"/>
        <w:lang w:val="fr-FR" w:eastAsia="en-US" w:bidi="ar-SA"/>
      </w:rPr>
    </w:lvl>
    <w:lvl w:ilvl="4">
      <w:numFmt w:val="bullet"/>
      <w:lvlText w:val="•"/>
      <w:lvlJc w:val="left"/>
      <w:pPr>
        <w:ind w:left="200" w:hanging="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60" w:hanging="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20" w:hanging="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" w:hanging="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0" w:hanging="56"/>
      </w:pPr>
      <w:rPr>
        <w:rFonts w:hint="default"/>
        <w:lang w:val="fr-FR" w:eastAsia="en-US" w:bidi="ar-SA"/>
      </w:rPr>
    </w:lvl>
  </w:abstractNum>
  <w:abstractNum w:abstractNumId="4" w15:restartNumberingAfterBreak="0">
    <w:nsid w:val="6EF917EE"/>
    <w:multiLevelType w:val="hybridMultilevel"/>
    <w:tmpl w:val="502AEDDA"/>
    <w:lvl w:ilvl="0" w:tplc="7174CB80">
      <w:numFmt w:val="bullet"/>
      <w:lvlText w:val="-"/>
      <w:lvlJc w:val="left"/>
      <w:pPr>
        <w:ind w:left="131" w:hanging="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0"/>
        <w:szCs w:val="10"/>
        <w:lang w:val="fr-FR" w:eastAsia="en-US" w:bidi="ar-SA"/>
      </w:rPr>
    </w:lvl>
    <w:lvl w:ilvl="1" w:tplc="A0067EA0">
      <w:numFmt w:val="bullet"/>
      <w:lvlText w:val="•"/>
      <w:lvlJc w:val="left"/>
      <w:pPr>
        <w:ind w:left="456" w:hanging="56"/>
      </w:pPr>
      <w:rPr>
        <w:rFonts w:hint="default"/>
        <w:lang w:val="fr-FR" w:eastAsia="en-US" w:bidi="ar-SA"/>
      </w:rPr>
    </w:lvl>
    <w:lvl w:ilvl="2" w:tplc="3322291C">
      <w:numFmt w:val="bullet"/>
      <w:lvlText w:val="•"/>
      <w:lvlJc w:val="left"/>
      <w:pPr>
        <w:ind w:left="772" w:hanging="56"/>
      </w:pPr>
      <w:rPr>
        <w:rFonts w:hint="default"/>
        <w:lang w:val="fr-FR" w:eastAsia="en-US" w:bidi="ar-SA"/>
      </w:rPr>
    </w:lvl>
    <w:lvl w:ilvl="3" w:tplc="735CF092">
      <w:numFmt w:val="bullet"/>
      <w:lvlText w:val="•"/>
      <w:lvlJc w:val="left"/>
      <w:pPr>
        <w:ind w:left="1089" w:hanging="56"/>
      </w:pPr>
      <w:rPr>
        <w:rFonts w:hint="default"/>
        <w:lang w:val="fr-FR" w:eastAsia="en-US" w:bidi="ar-SA"/>
      </w:rPr>
    </w:lvl>
    <w:lvl w:ilvl="4" w:tplc="D25A7D3E">
      <w:numFmt w:val="bullet"/>
      <w:lvlText w:val="•"/>
      <w:lvlJc w:val="left"/>
      <w:pPr>
        <w:ind w:left="1405" w:hanging="56"/>
      </w:pPr>
      <w:rPr>
        <w:rFonts w:hint="default"/>
        <w:lang w:val="fr-FR" w:eastAsia="en-US" w:bidi="ar-SA"/>
      </w:rPr>
    </w:lvl>
    <w:lvl w:ilvl="5" w:tplc="504C06DC">
      <w:numFmt w:val="bullet"/>
      <w:lvlText w:val="•"/>
      <w:lvlJc w:val="left"/>
      <w:pPr>
        <w:ind w:left="1722" w:hanging="56"/>
      </w:pPr>
      <w:rPr>
        <w:rFonts w:hint="default"/>
        <w:lang w:val="fr-FR" w:eastAsia="en-US" w:bidi="ar-SA"/>
      </w:rPr>
    </w:lvl>
    <w:lvl w:ilvl="6" w:tplc="649C4144">
      <w:numFmt w:val="bullet"/>
      <w:lvlText w:val="•"/>
      <w:lvlJc w:val="left"/>
      <w:pPr>
        <w:ind w:left="2038" w:hanging="56"/>
      </w:pPr>
      <w:rPr>
        <w:rFonts w:hint="default"/>
        <w:lang w:val="fr-FR" w:eastAsia="en-US" w:bidi="ar-SA"/>
      </w:rPr>
    </w:lvl>
    <w:lvl w:ilvl="7" w:tplc="5DD0583A">
      <w:numFmt w:val="bullet"/>
      <w:lvlText w:val="•"/>
      <w:lvlJc w:val="left"/>
      <w:pPr>
        <w:ind w:left="2355" w:hanging="56"/>
      </w:pPr>
      <w:rPr>
        <w:rFonts w:hint="default"/>
        <w:lang w:val="fr-FR" w:eastAsia="en-US" w:bidi="ar-SA"/>
      </w:rPr>
    </w:lvl>
    <w:lvl w:ilvl="8" w:tplc="0720D652">
      <w:numFmt w:val="bullet"/>
      <w:lvlText w:val="•"/>
      <w:lvlJc w:val="left"/>
      <w:pPr>
        <w:ind w:left="2671" w:hanging="56"/>
      </w:pPr>
      <w:rPr>
        <w:rFonts w:hint="default"/>
        <w:lang w:val="fr-FR" w:eastAsia="en-US" w:bidi="ar-SA"/>
      </w:rPr>
    </w:lvl>
  </w:abstractNum>
  <w:num w:numId="1" w16cid:durableId="1758553044">
    <w:abstractNumId w:val="3"/>
  </w:num>
  <w:num w:numId="2" w16cid:durableId="252714374">
    <w:abstractNumId w:val="0"/>
  </w:num>
  <w:num w:numId="3" w16cid:durableId="739910025">
    <w:abstractNumId w:val="4"/>
  </w:num>
  <w:num w:numId="4" w16cid:durableId="5790152">
    <w:abstractNumId w:val="1"/>
  </w:num>
  <w:num w:numId="5" w16cid:durableId="98037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71"/>
    <w:rsid w:val="000004ED"/>
    <w:rsid w:val="000D22C2"/>
    <w:rsid w:val="0012003E"/>
    <w:rsid w:val="00192ACF"/>
    <w:rsid w:val="001A4213"/>
    <w:rsid w:val="00277703"/>
    <w:rsid w:val="002F29D4"/>
    <w:rsid w:val="00331210"/>
    <w:rsid w:val="003449CA"/>
    <w:rsid w:val="003B3551"/>
    <w:rsid w:val="003C1BDE"/>
    <w:rsid w:val="00433D1F"/>
    <w:rsid w:val="00493EFD"/>
    <w:rsid w:val="004A45FC"/>
    <w:rsid w:val="004A4BDA"/>
    <w:rsid w:val="004B63B1"/>
    <w:rsid w:val="00501CAF"/>
    <w:rsid w:val="00565F9B"/>
    <w:rsid w:val="005903FD"/>
    <w:rsid w:val="005B5823"/>
    <w:rsid w:val="005C0D70"/>
    <w:rsid w:val="00612EBA"/>
    <w:rsid w:val="0063540E"/>
    <w:rsid w:val="00661F10"/>
    <w:rsid w:val="006D21B7"/>
    <w:rsid w:val="00782CB1"/>
    <w:rsid w:val="007A38AC"/>
    <w:rsid w:val="00857C0B"/>
    <w:rsid w:val="00864E89"/>
    <w:rsid w:val="008A1D6E"/>
    <w:rsid w:val="00926F04"/>
    <w:rsid w:val="0093118A"/>
    <w:rsid w:val="00932F26"/>
    <w:rsid w:val="00943963"/>
    <w:rsid w:val="00945993"/>
    <w:rsid w:val="009B4371"/>
    <w:rsid w:val="009E2DA9"/>
    <w:rsid w:val="00A214DE"/>
    <w:rsid w:val="00A24E94"/>
    <w:rsid w:val="00A31DE1"/>
    <w:rsid w:val="00A77646"/>
    <w:rsid w:val="00A806FD"/>
    <w:rsid w:val="00AA12D6"/>
    <w:rsid w:val="00B53A00"/>
    <w:rsid w:val="00B706DA"/>
    <w:rsid w:val="00BD2CDB"/>
    <w:rsid w:val="00C31EFE"/>
    <w:rsid w:val="00C60C76"/>
    <w:rsid w:val="00CF6D7C"/>
    <w:rsid w:val="00E91916"/>
    <w:rsid w:val="00EB4694"/>
    <w:rsid w:val="00F467C3"/>
    <w:rsid w:val="00F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8660"/>
  <w15:docId w15:val="{8B27522A-A847-4D6F-ABA8-6E036072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8"/>
      <w:ind w:left="239" w:hanging="126"/>
      <w:outlineLvl w:val="0"/>
    </w:pPr>
    <w:rPr>
      <w:rFonts w:ascii="Trebuchet MS" w:eastAsia="Trebuchet MS" w:hAnsi="Trebuchet MS" w:cs="Trebuchet MS"/>
      <w:b/>
      <w:bCs/>
      <w:sz w:val="10"/>
      <w:szCs w:val="10"/>
    </w:rPr>
  </w:style>
  <w:style w:type="paragraph" w:styleId="Titre2">
    <w:name w:val="heading 2"/>
    <w:basedOn w:val="Normal"/>
    <w:uiPriority w:val="9"/>
    <w:unhideWhenUsed/>
    <w:qFormat/>
    <w:pPr>
      <w:ind w:left="236" w:hanging="175"/>
      <w:outlineLvl w:val="1"/>
    </w:pPr>
    <w:rPr>
      <w:rFonts w:ascii="Trebuchet MS" w:eastAsia="Trebuchet MS" w:hAnsi="Trebuchet MS" w:cs="Trebuchet MS"/>
      <w:b/>
      <w:bCs/>
      <w:sz w:val="10"/>
      <w:szCs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6"/>
    </w:pPr>
    <w:rPr>
      <w:sz w:val="10"/>
      <w:szCs w:val="10"/>
    </w:rPr>
  </w:style>
  <w:style w:type="paragraph" w:styleId="Titre">
    <w:name w:val="Title"/>
    <w:basedOn w:val="Normal"/>
    <w:uiPriority w:val="10"/>
    <w:qFormat/>
    <w:pPr>
      <w:spacing w:before="56"/>
      <w:ind w:left="113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316" w:hanging="5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92A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" TargetMode="External"/><Relationship Id="rId5" Type="http://schemas.openxmlformats.org/officeDocument/2006/relationships/hyperlink" Target="http://www.convergence-teleco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2603</Words>
  <Characters>14317</Characters>
  <Application>Microsoft Office Word</Application>
  <DocSecurity>0</DocSecurity>
  <Lines>119</Lines>
  <Paragraphs>33</Paragraphs>
  <ScaleCrop>false</ScaleCrop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 Berroyer</cp:lastModifiedBy>
  <cp:revision>52</cp:revision>
  <dcterms:created xsi:type="dcterms:W3CDTF">2025-04-09T10:07:00Z</dcterms:created>
  <dcterms:modified xsi:type="dcterms:W3CDTF">2025-04-09T11:03:00Z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16.0.7</vt:lpwstr>
  </property>
</Properties>
</file>